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eastAsia="仿宋_GB2312"/>
          <w:lang w:val="en-US" w:eastAsia="zh-CN"/>
        </w:rPr>
      </w:pPr>
    </w:p>
    <w:p>
      <w:pPr>
        <w:bidi w:val="0"/>
        <w:rPr>
          <w:rFonts w:hint="eastAsia" w:eastAsia="仿宋_GB2312"/>
          <w:lang w:val="en-US" w:eastAsia="zh-CN"/>
        </w:rPr>
      </w:pPr>
    </w:p>
    <w:p>
      <w:pPr>
        <w:bidi w:val="0"/>
        <w:rPr>
          <w:rFonts w:hint="eastAsia" w:eastAsia="仿宋_GB2312"/>
          <w:lang w:val="en-US" w:eastAsia="zh-CN"/>
        </w:rPr>
      </w:pPr>
    </w:p>
    <w:p>
      <w:pPr>
        <w:bidi w:val="0"/>
        <w:rPr>
          <w:rFonts w:hint="eastAsia" w:eastAsia="仿宋_GB2312"/>
          <w:lang w:val="en-US" w:eastAsia="zh-CN"/>
        </w:rPr>
      </w:pPr>
    </w:p>
    <w:p>
      <w:pPr>
        <w:bidi w:val="0"/>
        <w:rPr>
          <w:rFonts w:hint="eastAsia" w:eastAsia="仿宋_GB2312"/>
          <w:lang w:val="en-US" w:eastAsia="zh-CN"/>
        </w:rPr>
      </w:pPr>
    </w:p>
    <w:p>
      <w:pPr>
        <w:bidi w:val="0"/>
        <w:rPr>
          <w:rFonts w:hint="eastAsia" w:eastAsia="仿宋_GB2312"/>
          <w:lang w:val="en-US" w:eastAsia="zh-CN"/>
        </w:rPr>
      </w:pPr>
    </w:p>
    <w:p>
      <w:pPr>
        <w:pStyle w:val="15"/>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default"/>
          <w:lang w:val="en-US" w:eastAsia="zh-CN"/>
        </w:rPr>
      </w:pPr>
      <w:bookmarkStart w:id="0" w:name="_Toc1678418831"/>
      <w:bookmarkStart w:id="1" w:name="_Toc1566732582"/>
      <w:bookmarkStart w:id="2" w:name="_Toc266352179"/>
      <w:bookmarkStart w:id="3" w:name="_Toc1719359769"/>
      <w:bookmarkStart w:id="4" w:name="_Toc1930490278"/>
      <w:bookmarkStart w:id="5" w:name="_Toc104364322"/>
      <w:bookmarkStart w:id="6" w:name="_Toc1716683923"/>
      <w:bookmarkStart w:id="7" w:name="_Toc1206145212"/>
      <w:bookmarkStart w:id="8" w:name="_Toc1408315010"/>
      <w:bookmarkStart w:id="9" w:name="_Toc719636210"/>
      <w:bookmarkStart w:id="10" w:name="_Toc1681015679"/>
      <w:bookmarkStart w:id="11" w:name="_Toc707014566"/>
      <w:r>
        <w:rPr>
          <w:rFonts w:hint="eastAsia"/>
          <w:lang w:val="en-US" w:eastAsia="zh-CN"/>
        </w:rPr>
        <w:t>支持产业企业发展</w:t>
      </w:r>
    </w:p>
    <w:p>
      <w:pPr>
        <w:pStyle w:val="15"/>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lang w:eastAsia="zh-CN"/>
        </w:rPr>
      </w:pPr>
      <w:r>
        <w:rPr>
          <w:rFonts w:hint="eastAsia"/>
          <w:lang w:eastAsia="zh-CN"/>
        </w:rPr>
        <w:t>政策汇编</w:t>
      </w:r>
      <w:bookmarkEnd w:id="0"/>
      <w:bookmarkEnd w:id="1"/>
      <w:bookmarkEnd w:id="2"/>
      <w:bookmarkEnd w:id="3"/>
      <w:bookmarkEnd w:id="4"/>
      <w:bookmarkEnd w:id="5"/>
      <w:bookmarkEnd w:id="6"/>
      <w:bookmarkEnd w:id="7"/>
      <w:bookmarkEnd w:id="8"/>
      <w:bookmarkEnd w:id="9"/>
      <w:bookmarkEnd w:id="10"/>
      <w:bookmarkEnd w:id="11"/>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pStyle w:val="5"/>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楷体_GB2312" w:hAnsi="楷体_GB2312" w:eastAsia="楷体_GB2312" w:cs="楷体_GB2312"/>
          <w:b/>
          <w:bCs/>
          <w:sz w:val="28"/>
          <w:szCs w:val="18"/>
        </w:rPr>
      </w:pPr>
      <w:r>
        <w:rPr>
          <w:rFonts w:hint="eastAsia" w:ascii="楷体_GB2312" w:hAnsi="楷体_GB2312" w:eastAsia="楷体_GB2312" w:cs="楷体_GB2312"/>
          <w:b/>
          <w:bCs/>
          <w:sz w:val="28"/>
          <w:szCs w:val="18"/>
        </w:rPr>
        <w:t>202</w:t>
      </w:r>
      <w:r>
        <w:rPr>
          <w:rFonts w:hint="eastAsia" w:ascii="楷体_GB2312" w:hAnsi="楷体_GB2312" w:eastAsia="楷体_GB2312" w:cs="楷体_GB2312"/>
          <w:b/>
          <w:bCs/>
          <w:sz w:val="28"/>
          <w:szCs w:val="18"/>
          <w:lang w:val="en-US" w:eastAsia="zh-CN"/>
        </w:rPr>
        <w:t>2</w:t>
      </w:r>
      <w:r>
        <w:rPr>
          <w:rFonts w:hint="eastAsia" w:ascii="楷体_GB2312" w:hAnsi="楷体_GB2312" w:eastAsia="楷体_GB2312" w:cs="楷体_GB2312"/>
          <w:b/>
          <w:bCs/>
          <w:sz w:val="28"/>
          <w:szCs w:val="18"/>
        </w:rPr>
        <w:t>年</w:t>
      </w:r>
      <w:r>
        <w:rPr>
          <w:rFonts w:hint="eastAsia" w:ascii="楷体_GB2312" w:hAnsi="楷体_GB2312" w:eastAsia="楷体_GB2312" w:cs="楷体_GB2312"/>
          <w:b/>
          <w:bCs/>
          <w:sz w:val="28"/>
          <w:szCs w:val="18"/>
          <w:lang w:val="en-US" w:eastAsia="zh-CN"/>
        </w:rPr>
        <w:t>4</w:t>
      </w:r>
      <w:r>
        <w:rPr>
          <w:rFonts w:hint="eastAsia" w:ascii="楷体_GB2312" w:hAnsi="楷体_GB2312" w:eastAsia="楷体_GB2312" w:cs="楷体_GB2312"/>
          <w:b/>
          <w:bCs/>
          <w:sz w:val="28"/>
          <w:szCs w:val="18"/>
        </w:rPr>
        <w:t>月</w:t>
      </w:r>
      <w:r>
        <w:rPr>
          <w:rFonts w:hint="eastAsia" w:ascii="楷体_GB2312" w:hAnsi="楷体_GB2312" w:eastAsia="楷体_GB2312" w:cs="楷体_GB2312"/>
          <w:b/>
          <w:bCs/>
          <w:sz w:val="28"/>
          <w:szCs w:val="18"/>
        </w:rPr>
        <w:br w:type="page"/>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imes New Roman" w:hAnsi="Times New Roman" w:eastAsia="方正小标宋简体"/>
          <w:color w:val="000000"/>
          <w:sz w:val="32"/>
          <w:szCs w:val="32"/>
        </w:rPr>
      </w:pPr>
      <w:r>
        <w:rPr>
          <w:rFonts w:hint="eastAsia" w:ascii="Times New Roman" w:hAnsi="Times New Roman" w:eastAsia="方正小标宋简体"/>
          <w:color w:val="000000"/>
          <w:sz w:val="32"/>
          <w:szCs w:val="32"/>
        </w:rPr>
        <w:t>编写说明</w:t>
      </w:r>
    </w:p>
    <w:p>
      <w:pPr>
        <w:bidi w:val="0"/>
        <w:rPr>
          <w:rFonts w:hint="eastAsia"/>
        </w:rPr>
      </w:pPr>
      <w:r>
        <w:rPr>
          <w:rFonts w:hint="eastAsia"/>
        </w:rPr>
        <w:t>为全力服务全市“工业强市、产业兴市”三年攻坚突破行动，</w:t>
      </w:r>
      <w:r>
        <w:rPr>
          <w:rFonts w:hint="eastAsia"/>
          <w:lang w:eastAsia="zh-CN"/>
        </w:rPr>
        <w:t>现</w:t>
      </w:r>
      <w:r>
        <w:rPr>
          <w:rFonts w:hint="eastAsia"/>
        </w:rPr>
        <w:t>收集、汇总各级政策</w:t>
      </w:r>
      <w:r>
        <w:rPr>
          <w:rFonts w:hint="eastAsia"/>
          <w:lang w:val="en-US" w:eastAsia="zh-CN"/>
        </w:rPr>
        <w:t>54</w:t>
      </w:r>
      <w:r>
        <w:rPr>
          <w:rFonts w:hint="eastAsia"/>
        </w:rPr>
        <w:t>条，于2022年</w:t>
      </w:r>
      <w:r>
        <w:rPr>
          <w:rFonts w:hint="eastAsia"/>
          <w:lang w:val="en-US" w:eastAsia="zh-CN"/>
        </w:rPr>
        <w:t>4</w:t>
      </w:r>
      <w:r>
        <w:rPr>
          <w:rFonts w:hint="eastAsia"/>
        </w:rPr>
        <w:t>月完成《惠企政策便利手册》汇编。为方便查询、使用，每条政策都附有二维码，扫码即可查看详细的政策内容、操作流程、申报材料、联系方式等具体内容。</w:t>
      </w:r>
    </w:p>
    <w:p>
      <w:pPr>
        <w:rPr>
          <w:rFonts w:hint="eastAsia"/>
        </w:rPr>
      </w:pPr>
      <w:r>
        <w:rPr>
          <w:rFonts w:hint="eastAsia"/>
        </w:rPr>
        <w:t>使用中如遇有政策发生调整、变化，请以最新的政策为准。同时，欢迎您将使用中的感受、建议和意见反馈给我们，我们也将时刻关注政策变化，对《手册》内容不断完善更新。</w:t>
      </w:r>
      <w:bookmarkStart w:id="399" w:name="_GoBack"/>
      <w:bookmarkEnd w:id="399"/>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ascii="Times New Roman" w:hAnsi="Times New Roman" w:eastAsia="方正小标宋简体"/>
          <w:color w:val="000000"/>
          <w:sz w:val="32"/>
          <w:szCs w:val="32"/>
        </w:rPr>
      </w:pPr>
      <w:r>
        <w:rPr>
          <w:rFonts w:ascii="Times New Roman" w:hAnsi="Times New Roman" w:eastAsia="方正小标宋简体"/>
          <w:color w:val="000000"/>
          <w:sz w:val="32"/>
          <w:szCs w:val="32"/>
        </w:rPr>
        <w:t>目  录</w:t>
      </w:r>
    </w:p>
    <w:p>
      <w:pPr>
        <w:pStyle w:val="12"/>
        <w:tabs>
          <w:tab w:val="right" w:leader="dot" w:pos="6124"/>
        </w:tabs>
      </w:pPr>
      <w:bookmarkStart w:id="12" w:name="_Toc1060370344"/>
      <w:bookmarkStart w:id="13" w:name="_Toc947287435"/>
      <w:bookmarkStart w:id="14" w:name="_Toc131028505"/>
      <w:r>
        <w:rPr>
          <w:rFonts w:ascii="Times New Roman" w:hAnsi="Times New Roman"/>
        </w:rPr>
        <w:fldChar w:fldCharType="begin"/>
      </w:r>
      <w:r>
        <w:rPr>
          <w:rFonts w:ascii="Times New Roman" w:hAnsi="Times New Roman"/>
        </w:rPr>
        <w:instrText xml:space="preserve">TOC \o "1-1" \h</w:instrText>
      </w:r>
      <w:r>
        <w:rPr>
          <w:rFonts w:ascii="Times New Roman" w:hAnsi="Times New Roman"/>
        </w:rPr>
        <w:fldChar w:fldCharType="separate"/>
      </w:r>
      <w:r>
        <w:rPr>
          <w:rFonts w:ascii="Times New Roman" w:hAnsi="Times New Roman"/>
        </w:rPr>
        <w:fldChar w:fldCharType="begin"/>
      </w:r>
      <w:r>
        <w:rPr>
          <w:rFonts w:ascii="Times New Roman" w:hAnsi="Times New Roman"/>
        </w:rPr>
        <w:instrText xml:space="preserve"> HYPERLINK \l _Toc138298558 </w:instrText>
      </w:r>
      <w:r>
        <w:rPr>
          <w:rFonts w:ascii="Times New Roman" w:hAnsi="Times New Roman"/>
        </w:rPr>
        <w:fldChar w:fldCharType="separate"/>
      </w:r>
      <w:r>
        <w:t>关于明确先进制造业增值税期末留抵退税政策的公告</w:t>
      </w:r>
      <w:r>
        <w:tab/>
      </w:r>
      <w:r>
        <w:fldChar w:fldCharType="begin"/>
      </w:r>
      <w:r>
        <w:instrText xml:space="preserve"> PAGEREF _Toc138298558 </w:instrText>
      </w:r>
      <w:r>
        <w:fldChar w:fldCharType="separate"/>
      </w:r>
      <w:r>
        <w:t>1</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_Toc1698797979 </w:instrText>
      </w:r>
      <w:r>
        <w:rPr>
          <w:rFonts w:ascii="Times New Roman" w:hAnsi="Times New Roman"/>
        </w:rPr>
        <w:fldChar w:fldCharType="separate"/>
      </w:r>
      <w:r>
        <w:t>关于进一步完善研发费用税前加计扣除政策的公告</w:t>
      </w:r>
      <w:r>
        <w:tab/>
      </w:r>
      <w:r>
        <w:fldChar w:fldCharType="begin"/>
      </w:r>
      <w:r>
        <w:instrText xml:space="preserve"> PAGEREF _Toc1698797979 </w:instrText>
      </w:r>
      <w:r>
        <w:fldChar w:fldCharType="separate"/>
      </w:r>
      <w:r>
        <w:t>2</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_Toc1763052535 </w:instrText>
      </w:r>
      <w:r>
        <w:rPr>
          <w:rFonts w:ascii="Times New Roman" w:hAnsi="Times New Roman"/>
        </w:rPr>
        <w:fldChar w:fldCharType="separate"/>
      </w:r>
      <w:r>
        <w:t>关于实施小微企业和个体工商户所得税优惠政策的公告</w:t>
      </w:r>
      <w:r>
        <w:tab/>
      </w:r>
      <w:r>
        <w:fldChar w:fldCharType="begin"/>
      </w:r>
      <w:r>
        <w:instrText xml:space="preserve"> PAGEREF _Toc1763052535 </w:instrText>
      </w:r>
      <w:r>
        <w:fldChar w:fldCharType="separate"/>
      </w:r>
      <w:r>
        <w:t>3</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_Toc2075821766 </w:instrText>
      </w:r>
      <w:r>
        <w:rPr>
          <w:rFonts w:ascii="Times New Roman" w:hAnsi="Times New Roman"/>
        </w:rPr>
        <w:fldChar w:fldCharType="separate"/>
      </w:r>
      <w:r>
        <w:t>关于明确增值税小规模纳税人 免征增值税政策的公告</w:t>
      </w:r>
      <w:r>
        <w:tab/>
      </w:r>
      <w:r>
        <w:fldChar w:fldCharType="begin"/>
      </w:r>
      <w:r>
        <w:instrText xml:space="preserve"> PAGEREF _Toc2075821766 </w:instrText>
      </w:r>
      <w:r>
        <w:fldChar w:fldCharType="separate"/>
      </w:r>
      <w:r>
        <w:t>4</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_Toc944101835 </w:instrText>
      </w:r>
      <w:r>
        <w:rPr>
          <w:rFonts w:ascii="Times New Roman" w:hAnsi="Times New Roman"/>
        </w:rPr>
        <w:fldChar w:fldCharType="separate"/>
      </w:r>
      <w:r>
        <w:t>财政部 国家税务总局 科技部 关于完善研究开发费用税前加计扣除政策的通知</w:t>
      </w:r>
      <w:r>
        <w:tab/>
      </w:r>
      <w:r>
        <w:fldChar w:fldCharType="begin"/>
      </w:r>
      <w:r>
        <w:instrText xml:space="preserve"> PAGEREF _Toc944101835 </w:instrText>
      </w:r>
      <w:r>
        <w:fldChar w:fldCharType="separate"/>
      </w:r>
      <w:r>
        <w:t>5</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_Toc1963999948 </w:instrText>
      </w:r>
      <w:r>
        <w:rPr>
          <w:rFonts w:ascii="Times New Roman" w:hAnsi="Times New Roman"/>
        </w:rPr>
        <w:fldChar w:fldCharType="separate"/>
      </w:r>
      <w:r>
        <w:t>山东省“专精特新”中小企业认定管理办法</w:t>
      </w:r>
      <w:r>
        <w:tab/>
      </w:r>
      <w:r>
        <w:fldChar w:fldCharType="begin"/>
      </w:r>
      <w:r>
        <w:instrText xml:space="preserve"> PAGEREF _Toc1963999948 </w:instrText>
      </w:r>
      <w:r>
        <w:fldChar w:fldCharType="separate"/>
      </w:r>
      <w:r>
        <w:t>6</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_Toc1553691359 </w:instrText>
      </w:r>
      <w:r>
        <w:rPr>
          <w:rFonts w:ascii="Times New Roman" w:hAnsi="Times New Roman"/>
        </w:rPr>
        <w:fldChar w:fldCharType="separate"/>
      </w:r>
      <w:r>
        <w:t>山东省瞪羚、独角兽企业认定管理办法</w:t>
      </w:r>
      <w:r>
        <w:tab/>
      </w:r>
      <w:r>
        <w:fldChar w:fldCharType="begin"/>
      </w:r>
      <w:r>
        <w:instrText xml:space="preserve"> PAGEREF _Toc1553691359 </w:instrText>
      </w:r>
      <w:r>
        <w:fldChar w:fldCharType="separate"/>
      </w:r>
      <w:r>
        <w:t>7</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_Toc1558560925 </w:instrText>
      </w:r>
      <w:r>
        <w:rPr>
          <w:rFonts w:ascii="Times New Roman" w:hAnsi="Times New Roman"/>
        </w:rPr>
        <w:fldChar w:fldCharType="separate"/>
      </w:r>
      <w:r>
        <w:t>山东省制造业单项冠军企业培育提升专项行动实施方案</w:t>
      </w:r>
      <w:r>
        <w:tab/>
      </w:r>
      <w:r>
        <w:fldChar w:fldCharType="begin"/>
      </w:r>
      <w:r>
        <w:instrText xml:space="preserve"> PAGEREF _Toc1558560925 </w:instrText>
      </w:r>
      <w:r>
        <w:fldChar w:fldCharType="separate"/>
      </w:r>
      <w:r>
        <w:t>8</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_Toc1437340597 </w:instrText>
      </w:r>
      <w:r>
        <w:rPr>
          <w:rFonts w:ascii="Times New Roman" w:hAnsi="Times New Roman"/>
        </w:rPr>
        <w:fldChar w:fldCharType="separate"/>
      </w:r>
      <w:r>
        <w:t>山东省“双招双引”政策汇编</w:t>
      </w:r>
      <w:r>
        <w:tab/>
      </w:r>
      <w:r>
        <w:fldChar w:fldCharType="begin"/>
      </w:r>
      <w:r>
        <w:instrText xml:space="preserve"> PAGEREF _Toc1437340597 </w:instrText>
      </w:r>
      <w:r>
        <w:fldChar w:fldCharType="separate"/>
      </w:r>
      <w:r>
        <w:t>9</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_Toc1750550474 </w:instrText>
      </w:r>
      <w:r>
        <w:rPr>
          <w:rFonts w:ascii="Times New Roman" w:hAnsi="Times New Roman"/>
        </w:rPr>
        <w:fldChar w:fldCharType="separate"/>
      </w:r>
      <w:r>
        <w:t>山东省企业技术中心认定管理办法</w:t>
      </w:r>
      <w:r>
        <w:tab/>
      </w:r>
      <w:r>
        <w:fldChar w:fldCharType="begin"/>
      </w:r>
      <w:r>
        <w:instrText xml:space="preserve"> PAGEREF _Toc1750550474 </w:instrText>
      </w:r>
      <w:r>
        <w:fldChar w:fldCharType="separate"/>
      </w:r>
      <w:r>
        <w:t>10</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_Toc1818023930 </w:instrText>
      </w:r>
      <w:r>
        <w:rPr>
          <w:rFonts w:ascii="Times New Roman" w:hAnsi="Times New Roman"/>
        </w:rPr>
        <w:fldChar w:fldCharType="separate"/>
      </w:r>
      <w:r>
        <w:t>山东省技术创新中心建设方案</w:t>
      </w:r>
      <w:r>
        <w:tab/>
      </w:r>
      <w:r>
        <w:fldChar w:fldCharType="begin"/>
      </w:r>
      <w:r>
        <w:instrText xml:space="preserve"> PAGEREF _Toc1818023930 </w:instrText>
      </w:r>
      <w:r>
        <w:fldChar w:fldCharType="separate"/>
      </w:r>
      <w:r>
        <w:t>11</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_Toc1201672117 </w:instrText>
      </w:r>
      <w:r>
        <w:rPr>
          <w:rFonts w:ascii="Times New Roman" w:hAnsi="Times New Roman"/>
        </w:rPr>
        <w:fldChar w:fldCharType="separate"/>
      </w:r>
      <w:r>
        <w:t>关于开展技能兴鲁行动加强技能人才
队伍建设的若干措施</w:t>
      </w:r>
      <w:r>
        <w:tab/>
      </w:r>
      <w:r>
        <w:fldChar w:fldCharType="begin"/>
      </w:r>
      <w:r>
        <w:instrText xml:space="preserve"> PAGEREF _Toc1201672117 </w:instrText>
      </w:r>
      <w:r>
        <w:fldChar w:fldCharType="separate"/>
      </w:r>
      <w:r>
        <w:t>13</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_Toc783986629 </w:instrText>
      </w:r>
      <w:r>
        <w:rPr>
          <w:rFonts w:ascii="Times New Roman" w:hAnsi="Times New Roman"/>
        </w:rPr>
        <w:fldChar w:fldCharType="separate"/>
      </w:r>
      <w:r>
        <w:rPr>
          <w:rFonts w:hint="eastAsia"/>
          <w:lang w:eastAsia="zh-CN"/>
        </w:rPr>
        <w:t>“枣惠达”财政奖补集成服务平台</w:t>
      </w:r>
      <w:r>
        <w:tab/>
      </w:r>
      <w:r>
        <w:fldChar w:fldCharType="begin"/>
      </w:r>
      <w:r>
        <w:instrText xml:space="preserve"> PAGEREF _Toc783986629 </w:instrText>
      </w:r>
      <w:r>
        <w:fldChar w:fldCharType="separate"/>
      </w:r>
      <w:r>
        <w:t>15</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_Toc355025110 </w:instrText>
      </w:r>
      <w:r>
        <w:rPr>
          <w:rFonts w:ascii="Times New Roman" w:hAnsi="Times New Roman"/>
        </w:rPr>
        <w:fldChar w:fldCharType="separate"/>
      </w:r>
      <w:r>
        <w:t>枣庄市“专精特新”中小企业认定管理办法</w:t>
      </w:r>
      <w:r>
        <w:tab/>
      </w:r>
      <w:r>
        <w:fldChar w:fldCharType="begin"/>
      </w:r>
      <w:r>
        <w:instrText xml:space="preserve"> PAGEREF _Toc355025110 </w:instrText>
      </w:r>
      <w:r>
        <w:fldChar w:fldCharType="separate"/>
      </w:r>
      <w:r>
        <w:t>16</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_Toc75734273 </w:instrText>
      </w:r>
      <w:r>
        <w:rPr>
          <w:rFonts w:ascii="Times New Roman" w:hAnsi="Times New Roman"/>
        </w:rPr>
        <w:fldChar w:fldCharType="separate"/>
      </w:r>
      <w:r>
        <w:t>建立产业发展投资平台</w:t>
      </w:r>
      <w:r>
        <w:tab/>
      </w:r>
      <w:r>
        <w:fldChar w:fldCharType="begin"/>
      </w:r>
      <w:r>
        <w:instrText xml:space="preserve"> PAGEREF _Toc75734273 </w:instrText>
      </w:r>
      <w:r>
        <w:fldChar w:fldCharType="separate"/>
      </w:r>
      <w:r>
        <w:t>17</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_Toc677391976 </w:instrText>
      </w:r>
      <w:r>
        <w:rPr>
          <w:rFonts w:ascii="Times New Roman" w:hAnsi="Times New Roman"/>
        </w:rPr>
        <w:fldChar w:fldCharType="separate"/>
      </w:r>
      <w:r>
        <w:t>加大智能制造支持力度</w:t>
      </w:r>
      <w:r>
        <w:tab/>
      </w:r>
      <w:r>
        <w:fldChar w:fldCharType="begin"/>
      </w:r>
      <w:r>
        <w:instrText xml:space="preserve"> PAGEREF _Toc677391976 </w:instrText>
      </w:r>
      <w:r>
        <w:fldChar w:fldCharType="separate"/>
      </w:r>
      <w:r>
        <w:t>18</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_Toc1582767949 </w:instrText>
      </w:r>
      <w:r>
        <w:rPr>
          <w:rFonts w:ascii="Times New Roman" w:hAnsi="Times New Roman"/>
        </w:rPr>
        <w:fldChar w:fldCharType="separate"/>
      </w:r>
      <w:r>
        <w:t>支持工业互联网发展</w:t>
      </w:r>
      <w:r>
        <w:tab/>
      </w:r>
      <w:r>
        <w:fldChar w:fldCharType="begin"/>
      </w:r>
      <w:r>
        <w:instrText xml:space="preserve"> PAGEREF _Toc1582767949 </w:instrText>
      </w:r>
      <w:r>
        <w:fldChar w:fldCharType="separate"/>
      </w:r>
      <w:r>
        <w:t>19</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_Toc1063969204 </w:instrText>
      </w:r>
      <w:r>
        <w:rPr>
          <w:rFonts w:ascii="Times New Roman" w:hAnsi="Times New Roman"/>
        </w:rPr>
        <w:fldChar w:fldCharType="separate"/>
      </w:r>
      <w:r>
        <w:t>加强对重大技术改造扶持力度</w:t>
      </w:r>
      <w:r>
        <w:tab/>
      </w:r>
      <w:r>
        <w:fldChar w:fldCharType="begin"/>
      </w:r>
      <w:r>
        <w:instrText xml:space="preserve"> PAGEREF _Toc1063969204 </w:instrText>
      </w:r>
      <w:r>
        <w:fldChar w:fldCharType="separate"/>
      </w:r>
      <w:r>
        <w:t>20</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_Toc515021258 </w:instrText>
      </w:r>
      <w:r>
        <w:rPr>
          <w:rFonts w:ascii="Times New Roman" w:hAnsi="Times New Roman"/>
        </w:rPr>
        <w:fldChar w:fldCharType="separate"/>
      </w:r>
      <w:r>
        <w:t>推动高成长型企业发展</w:t>
      </w:r>
      <w:r>
        <w:tab/>
      </w:r>
      <w:r>
        <w:fldChar w:fldCharType="begin"/>
      </w:r>
      <w:r>
        <w:instrText xml:space="preserve"> PAGEREF _Toc515021258 </w:instrText>
      </w:r>
      <w:r>
        <w:fldChar w:fldCharType="separate"/>
      </w:r>
      <w:r>
        <w:t>21</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_Toc720180601 </w:instrText>
      </w:r>
      <w:r>
        <w:rPr>
          <w:rFonts w:ascii="Times New Roman" w:hAnsi="Times New Roman"/>
        </w:rPr>
        <w:fldChar w:fldCharType="separate"/>
      </w:r>
      <w:r>
        <w:t>打造中小企业云平台</w:t>
      </w:r>
      <w:r>
        <w:tab/>
      </w:r>
      <w:r>
        <w:fldChar w:fldCharType="begin"/>
      </w:r>
      <w:r>
        <w:instrText xml:space="preserve"> PAGEREF _Toc720180601 </w:instrText>
      </w:r>
      <w:r>
        <w:fldChar w:fldCharType="separate"/>
      </w:r>
      <w:r>
        <w:t>22</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_Toc490169409 </w:instrText>
      </w:r>
      <w:r>
        <w:rPr>
          <w:rFonts w:ascii="Times New Roman" w:hAnsi="Times New Roman"/>
        </w:rPr>
        <w:fldChar w:fldCharType="separate"/>
      </w:r>
      <w:r>
        <w:t>加强融资服务体系建设</w:t>
      </w:r>
      <w:r>
        <w:tab/>
      </w:r>
      <w:r>
        <w:fldChar w:fldCharType="begin"/>
      </w:r>
      <w:r>
        <w:instrText xml:space="preserve"> PAGEREF _Toc490169409 </w:instrText>
      </w:r>
      <w:r>
        <w:fldChar w:fldCharType="separate"/>
      </w:r>
      <w:r>
        <w:t>23</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_Toc847253039 </w:instrText>
      </w:r>
      <w:r>
        <w:rPr>
          <w:rFonts w:ascii="Times New Roman" w:hAnsi="Times New Roman"/>
        </w:rPr>
        <w:fldChar w:fldCharType="separate"/>
      </w:r>
      <w:r>
        <w:t>加强科研平台建设</w:t>
      </w:r>
      <w:r>
        <w:tab/>
      </w:r>
      <w:r>
        <w:fldChar w:fldCharType="begin"/>
      </w:r>
      <w:r>
        <w:instrText xml:space="preserve"> PAGEREF _Toc847253039 </w:instrText>
      </w:r>
      <w:r>
        <w:fldChar w:fldCharType="separate"/>
      </w:r>
      <w:r>
        <w:t>25</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_Toc1844473898 </w:instrText>
      </w:r>
      <w:r>
        <w:rPr>
          <w:rFonts w:ascii="Times New Roman" w:hAnsi="Times New Roman"/>
        </w:rPr>
        <w:fldChar w:fldCharType="separate"/>
      </w:r>
      <w:r>
        <w:t>建设专业研究机构</w:t>
      </w:r>
      <w:r>
        <w:tab/>
      </w:r>
      <w:r>
        <w:fldChar w:fldCharType="begin"/>
      </w:r>
      <w:r>
        <w:instrText xml:space="preserve"> PAGEREF _Toc1844473898 </w:instrText>
      </w:r>
      <w:r>
        <w:fldChar w:fldCharType="separate"/>
      </w:r>
      <w:r>
        <w:t>26</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_Toc1964612726 </w:instrText>
      </w:r>
      <w:r>
        <w:rPr>
          <w:rFonts w:ascii="Times New Roman" w:hAnsi="Times New Roman"/>
        </w:rPr>
        <w:fldChar w:fldCharType="separate"/>
      </w:r>
      <w:r>
        <w:t>支持关键技术攻关</w:t>
      </w:r>
      <w:r>
        <w:tab/>
      </w:r>
      <w:r>
        <w:fldChar w:fldCharType="begin"/>
      </w:r>
      <w:r>
        <w:instrText xml:space="preserve"> PAGEREF _Toc1964612726 </w:instrText>
      </w:r>
      <w:r>
        <w:fldChar w:fldCharType="separate"/>
      </w:r>
      <w:r>
        <w:t>27</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_Toc1278735124 </w:instrText>
      </w:r>
      <w:r>
        <w:rPr>
          <w:rFonts w:ascii="Times New Roman" w:hAnsi="Times New Roman"/>
        </w:rPr>
        <w:fldChar w:fldCharType="separate"/>
      </w:r>
      <w:r>
        <w:t>支持推进创新创业共同体建设</w:t>
      </w:r>
      <w:r>
        <w:tab/>
      </w:r>
      <w:r>
        <w:fldChar w:fldCharType="begin"/>
      </w:r>
      <w:r>
        <w:instrText xml:space="preserve"> PAGEREF _Toc1278735124 </w:instrText>
      </w:r>
      <w:r>
        <w:fldChar w:fldCharType="separate"/>
      </w:r>
      <w:r>
        <w:t>28</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_Toc712637902 </w:instrText>
      </w:r>
      <w:r>
        <w:rPr>
          <w:rFonts w:ascii="Times New Roman" w:hAnsi="Times New Roman"/>
        </w:rPr>
        <w:fldChar w:fldCharType="separate"/>
      </w:r>
      <w:r>
        <w:t>加强科技型企业孵化培育</w:t>
      </w:r>
      <w:r>
        <w:tab/>
      </w:r>
      <w:r>
        <w:fldChar w:fldCharType="begin"/>
      </w:r>
      <w:r>
        <w:instrText xml:space="preserve"> PAGEREF _Toc712637902 </w:instrText>
      </w:r>
      <w:r>
        <w:fldChar w:fldCharType="separate"/>
      </w:r>
      <w:r>
        <w:t>29</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_Toc327754771 </w:instrText>
      </w:r>
      <w:r>
        <w:rPr>
          <w:rFonts w:ascii="Times New Roman" w:hAnsi="Times New Roman"/>
        </w:rPr>
        <w:fldChar w:fldCharType="separate"/>
      </w:r>
      <w:r>
        <w:t>加强科研成果转移转化</w:t>
      </w:r>
      <w:r>
        <w:tab/>
      </w:r>
      <w:r>
        <w:fldChar w:fldCharType="begin"/>
      </w:r>
      <w:r>
        <w:instrText xml:space="preserve"> PAGEREF _Toc327754771 </w:instrText>
      </w:r>
      <w:r>
        <w:fldChar w:fldCharType="separate"/>
      </w:r>
      <w:r>
        <w:t>30</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_Toc1972122783 </w:instrText>
      </w:r>
      <w:r>
        <w:rPr>
          <w:rFonts w:ascii="Times New Roman" w:hAnsi="Times New Roman"/>
        </w:rPr>
        <w:fldChar w:fldCharType="separate"/>
      </w:r>
      <w:r>
        <w:t>支持项目向园区集聚</w:t>
      </w:r>
      <w:r>
        <w:tab/>
      </w:r>
      <w:r>
        <w:fldChar w:fldCharType="begin"/>
      </w:r>
      <w:r>
        <w:instrText xml:space="preserve"> PAGEREF _Toc1972122783 </w:instrText>
      </w:r>
      <w:r>
        <w:fldChar w:fldCharType="separate"/>
      </w:r>
      <w:r>
        <w:t>31</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_Toc2014556458 </w:instrText>
      </w:r>
      <w:r>
        <w:rPr>
          <w:rFonts w:ascii="Times New Roman" w:hAnsi="Times New Roman"/>
        </w:rPr>
        <w:fldChar w:fldCharType="separate"/>
      </w:r>
      <w:r>
        <w:t>完善产业用地供给方式</w:t>
      </w:r>
      <w:r>
        <w:tab/>
      </w:r>
      <w:r>
        <w:fldChar w:fldCharType="begin"/>
      </w:r>
      <w:r>
        <w:instrText xml:space="preserve"> PAGEREF _Toc2014556458 </w:instrText>
      </w:r>
      <w:r>
        <w:fldChar w:fldCharType="separate"/>
      </w:r>
      <w:r>
        <w:t>32</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_Toc2098897707 </w:instrText>
      </w:r>
      <w:r>
        <w:rPr>
          <w:rFonts w:ascii="Times New Roman" w:hAnsi="Times New Roman"/>
        </w:rPr>
        <w:fldChar w:fldCharType="separate"/>
      </w:r>
      <w:r>
        <w:t>提升节约集约用地水平</w:t>
      </w:r>
      <w:r>
        <w:tab/>
      </w:r>
      <w:r>
        <w:fldChar w:fldCharType="begin"/>
      </w:r>
      <w:r>
        <w:instrText xml:space="preserve"> PAGEREF _Toc2098897707 </w:instrText>
      </w:r>
      <w:r>
        <w:fldChar w:fldCharType="separate"/>
      </w:r>
      <w:r>
        <w:t>33</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_Toc544275345 </w:instrText>
      </w:r>
      <w:r>
        <w:rPr>
          <w:rFonts w:ascii="Times New Roman" w:hAnsi="Times New Roman"/>
        </w:rPr>
        <w:fldChar w:fldCharType="separate"/>
      </w:r>
      <w:r>
        <w:t>提高土地出让收入用于农业农村比例</w:t>
      </w:r>
      <w:r>
        <w:tab/>
      </w:r>
      <w:r>
        <w:fldChar w:fldCharType="begin"/>
      </w:r>
      <w:r>
        <w:instrText xml:space="preserve"> PAGEREF _Toc544275345 </w:instrText>
      </w:r>
      <w:r>
        <w:fldChar w:fldCharType="separate"/>
      </w:r>
      <w:r>
        <w:t>34</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_Toc5371368 </w:instrText>
      </w:r>
      <w:r>
        <w:rPr>
          <w:rFonts w:ascii="Times New Roman" w:hAnsi="Times New Roman"/>
        </w:rPr>
        <w:fldChar w:fldCharType="separate"/>
      </w:r>
      <w:r>
        <w:t>集聚产业领军人才</w:t>
      </w:r>
      <w:r>
        <w:tab/>
      </w:r>
      <w:r>
        <w:fldChar w:fldCharType="begin"/>
      </w:r>
      <w:r>
        <w:instrText xml:space="preserve"> PAGEREF _Toc5371368 </w:instrText>
      </w:r>
      <w:r>
        <w:fldChar w:fldCharType="separate"/>
      </w:r>
      <w:r>
        <w:t>35</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_Toc1650212038 </w:instrText>
      </w:r>
      <w:r>
        <w:rPr>
          <w:rFonts w:ascii="Times New Roman" w:hAnsi="Times New Roman"/>
        </w:rPr>
        <w:fldChar w:fldCharType="separate"/>
      </w:r>
      <w:r>
        <w:t>创新开发区财税分成机制</w:t>
      </w:r>
      <w:r>
        <w:tab/>
      </w:r>
      <w:r>
        <w:fldChar w:fldCharType="begin"/>
      </w:r>
      <w:r>
        <w:instrText xml:space="preserve"> PAGEREF _Toc1650212038 </w:instrText>
      </w:r>
      <w:r>
        <w:fldChar w:fldCharType="separate"/>
      </w:r>
      <w:r>
        <w:t>36</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_Toc159844232 </w:instrText>
      </w:r>
      <w:r>
        <w:rPr>
          <w:rFonts w:ascii="Times New Roman" w:hAnsi="Times New Roman"/>
        </w:rPr>
        <w:fldChar w:fldCharType="separate"/>
      </w:r>
      <w:r>
        <w:t>实行重大招商引资项目“一事一议”</w:t>
      </w:r>
      <w:r>
        <w:tab/>
      </w:r>
      <w:r>
        <w:fldChar w:fldCharType="begin"/>
      </w:r>
      <w:r>
        <w:instrText xml:space="preserve"> PAGEREF _Toc159844232 </w:instrText>
      </w:r>
      <w:r>
        <w:fldChar w:fldCharType="separate"/>
      </w:r>
      <w:r>
        <w:t>37</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_Toc2081193134 </w:instrText>
      </w:r>
      <w:r>
        <w:rPr>
          <w:rFonts w:ascii="Times New Roman" w:hAnsi="Times New Roman"/>
        </w:rPr>
        <w:fldChar w:fldCharType="separate"/>
      </w:r>
      <w:r>
        <w:t>企业开办</w:t>
      </w:r>
      <w:r>
        <w:tab/>
      </w:r>
      <w:r>
        <w:fldChar w:fldCharType="begin"/>
      </w:r>
      <w:r>
        <w:instrText xml:space="preserve"> PAGEREF _Toc2081193134 </w:instrText>
      </w:r>
      <w:r>
        <w:fldChar w:fldCharType="separate"/>
      </w:r>
      <w:r>
        <w:t>38</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_Toc446830226 </w:instrText>
      </w:r>
      <w:r>
        <w:rPr>
          <w:rFonts w:ascii="Times New Roman" w:hAnsi="Times New Roman"/>
        </w:rPr>
        <w:fldChar w:fldCharType="separate"/>
      </w:r>
      <w:r>
        <w:t>工程建设项目审批</w:t>
      </w:r>
      <w:r>
        <w:tab/>
      </w:r>
      <w:r>
        <w:fldChar w:fldCharType="begin"/>
      </w:r>
      <w:r>
        <w:instrText xml:space="preserve"> PAGEREF _Toc446830226 </w:instrText>
      </w:r>
      <w:r>
        <w:fldChar w:fldCharType="separate"/>
      </w:r>
      <w:r>
        <w:t>39</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_Toc2123844180 </w:instrText>
      </w:r>
      <w:r>
        <w:rPr>
          <w:rFonts w:ascii="Times New Roman" w:hAnsi="Times New Roman"/>
        </w:rPr>
        <w:fldChar w:fldCharType="separate"/>
      </w:r>
      <w:r>
        <w:t>水电气热接入</w:t>
      </w:r>
      <w:r>
        <w:tab/>
      </w:r>
      <w:r>
        <w:fldChar w:fldCharType="begin"/>
      </w:r>
      <w:r>
        <w:instrText xml:space="preserve"> PAGEREF _Toc2123844180 </w:instrText>
      </w:r>
      <w:r>
        <w:fldChar w:fldCharType="separate"/>
      </w:r>
      <w:r>
        <w:t>40</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_Toc1487400846 </w:instrText>
      </w:r>
      <w:r>
        <w:rPr>
          <w:rFonts w:ascii="Times New Roman" w:hAnsi="Times New Roman"/>
        </w:rPr>
        <w:fldChar w:fldCharType="separate"/>
      </w:r>
      <w:r>
        <w:t>不动产权登记</w:t>
      </w:r>
      <w:r>
        <w:tab/>
      </w:r>
      <w:r>
        <w:fldChar w:fldCharType="begin"/>
      </w:r>
      <w:r>
        <w:instrText xml:space="preserve"> PAGEREF _Toc1487400846 </w:instrText>
      </w:r>
      <w:r>
        <w:fldChar w:fldCharType="separate"/>
      </w:r>
      <w:r>
        <w:t>41</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_Toc2005391151 </w:instrText>
      </w:r>
      <w:r>
        <w:rPr>
          <w:rFonts w:ascii="Times New Roman" w:hAnsi="Times New Roman"/>
        </w:rPr>
        <w:fldChar w:fldCharType="separate"/>
      </w:r>
      <w:r>
        <w:t>数字政务建设</w:t>
      </w:r>
      <w:r>
        <w:tab/>
      </w:r>
      <w:r>
        <w:fldChar w:fldCharType="begin"/>
      </w:r>
      <w:r>
        <w:instrText xml:space="preserve"> PAGEREF _Toc2005391151 </w:instrText>
      </w:r>
      <w:r>
        <w:fldChar w:fldCharType="separate"/>
      </w:r>
      <w:r>
        <w:t>42</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_Toc1413701129 </w:instrText>
      </w:r>
      <w:r>
        <w:rPr>
          <w:rFonts w:ascii="Times New Roman" w:hAnsi="Times New Roman"/>
        </w:rPr>
        <w:fldChar w:fldCharType="separate"/>
      </w:r>
      <w:r>
        <w:t>政务服务办理</w:t>
      </w:r>
      <w:r>
        <w:tab/>
      </w:r>
      <w:r>
        <w:fldChar w:fldCharType="begin"/>
      </w:r>
      <w:r>
        <w:instrText xml:space="preserve"> PAGEREF _Toc1413701129 </w:instrText>
      </w:r>
      <w:r>
        <w:fldChar w:fldCharType="separate"/>
      </w:r>
      <w:r>
        <w:t>43</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_Toc1090467672 </w:instrText>
      </w:r>
      <w:r>
        <w:rPr>
          <w:rFonts w:ascii="Times New Roman" w:hAnsi="Times New Roman"/>
        </w:rPr>
        <w:fldChar w:fldCharType="separate"/>
      </w:r>
      <w:r>
        <w:t>政府采购和招投标</w:t>
      </w:r>
      <w:r>
        <w:tab/>
      </w:r>
      <w:r>
        <w:fldChar w:fldCharType="begin"/>
      </w:r>
      <w:r>
        <w:instrText xml:space="preserve"> PAGEREF _Toc1090467672 </w:instrText>
      </w:r>
      <w:r>
        <w:fldChar w:fldCharType="separate"/>
      </w:r>
      <w:r>
        <w:t>44</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_Toc1675931434 </w:instrText>
      </w:r>
      <w:r>
        <w:rPr>
          <w:rFonts w:ascii="Times New Roman" w:hAnsi="Times New Roman"/>
        </w:rPr>
        <w:fldChar w:fldCharType="separate"/>
      </w:r>
      <w:r>
        <w:t>融资服务</w:t>
      </w:r>
      <w:r>
        <w:tab/>
      </w:r>
      <w:r>
        <w:fldChar w:fldCharType="begin"/>
      </w:r>
      <w:r>
        <w:instrText xml:space="preserve"> PAGEREF _Toc1675931434 </w:instrText>
      </w:r>
      <w:r>
        <w:fldChar w:fldCharType="separate"/>
      </w:r>
      <w:r>
        <w:t>45</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_Toc467889598 </w:instrText>
      </w:r>
      <w:r>
        <w:rPr>
          <w:rFonts w:ascii="Times New Roman" w:hAnsi="Times New Roman"/>
        </w:rPr>
        <w:fldChar w:fldCharType="separate"/>
      </w:r>
      <w:r>
        <w:t>跨境贸易</w:t>
      </w:r>
      <w:r>
        <w:tab/>
      </w:r>
      <w:r>
        <w:fldChar w:fldCharType="begin"/>
      </w:r>
      <w:r>
        <w:instrText xml:space="preserve"> PAGEREF _Toc467889598 </w:instrText>
      </w:r>
      <w:r>
        <w:fldChar w:fldCharType="separate"/>
      </w:r>
      <w:r>
        <w:t>46</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_Toc1874454301 </w:instrText>
      </w:r>
      <w:r>
        <w:rPr>
          <w:rFonts w:ascii="Times New Roman" w:hAnsi="Times New Roman"/>
        </w:rPr>
        <w:fldChar w:fldCharType="separate"/>
      </w:r>
      <w:r>
        <w:t>市场监管</w:t>
      </w:r>
      <w:r>
        <w:tab/>
      </w:r>
      <w:r>
        <w:fldChar w:fldCharType="begin"/>
      </w:r>
      <w:r>
        <w:instrText xml:space="preserve"> PAGEREF _Toc1874454301 </w:instrText>
      </w:r>
      <w:r>
        <w:fldChar w:fldCharType="separate"/>
      </w:r>
      <w:r>
        <w:t>47</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_Toc2030956544 </w:instrText>
      </w:r>
      <w:r>
        <w:rPr>
          <w:rFonts w:ascii="Times New Roman" w:hAnsi="Times New Roman"/>
        </w:rPr>
        <w:fldChar w:fldCharType="separate"/>
      </w:r>
      <w:r>
        <w:t>诚信建设</w:t>
      </w:r>
      <w:r>
        <w:tab/>
      </w:r>
      <w:r>
        <w:fldChar w:fldCharType="begin"/>
      </w:r>
      <w:r>
        <w:instrText xml:space="preserve"> PAGEREF _Toc2030956544 </w:instrText>
      </w:r>
      <w:r>
        <w:fldChar w:fldCharType="separate"/>
      </w:r>
      <w:r>
        <w:t>48</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_Toc543623872 </w:instrText>
      </w:r>
      <w:r>
        <w:rPr>
          <w:rFonts w:ascii="Times New Roman" w:hAnsi="Times New Roman"/>
        </w:rPr>
        <w:fldChar w:fldCharType="separate"/>
      </w:r>
      <w:r>
        <w:t>社会治安</w:t>
      </w:r>
      <w:r>
        <w:tab/>
      </w:r>
      <w:r>
        <w:fldChar w:fldCharType="begin"/>
      </w:r>
      <w:r>
        <w:instrText xml:space="preserve"> PAGEREF _Toc543623872 </w:instrText>
      </w:r>
      <w:r>
        <w:fldChar w:fldCharType="separate"/>
      </w:r>
      <w:r>
        <w:t>49</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_Toc404362629 </w:instrText>
      </w:r>
      <w:r>
        <w:rPr>
          <w:rFonts w:ascii="Times New Roman" w:hAnsi="Times New Roman"/>
        </w:rPr>
        <w:fldChar w:fldCharType="separate"/>
      </w:r>
      <w:r>
        <w:t>企业家权益保护</w:t>
      </w:r>
      <w:r>
        <w:tab/>
      </w:r>
      <w:r>
        <w:fldChar w:fldCharType="begin"/>
      </w:r>
      <w:r>
        <w:instrText xml:space="preserve"> PAGEREF _Toc404362629 </w:instrText>
      </w:r>
      <w:r>
        <w:fldChar w:fldCharType="separate"/>
      </w:r>
      <w:r>
        <w:t>50</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_Toc1466240845 </w:instrText>
      </w:r>
      <w:r>
        <w:rPr>
          <w:rFonts w:ascii="Times New Roman" w:hAnsi="Times New Roman"/>
        </w:rPr>
        <w:fldChar w:fldCharType="separate"/>
      </w:r>
      <w:r>
        <w:t>知识产权保护</w:t>
      </w:r>
      <w:r>
        <w:tab/>
      </w:r>
      <w:r>
        <w:fldChar w:fldCharType="begin"/>
      </w:r>
      <w:r>
        <w:instrText xml:space="preserve"> PAGEREF _Toc1466240845 </w:instrText>
      </w:r>
      <w:r>
        <w:fldChar w:fldCharType="separate"/>
      </w:r>
      <w:r>
        <w:t>51</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_Toc1607593076 </w:instrText>
      </w:r>
      <w:r>
        <w:rPr>
          <w:rFonts w:ascii="Times New Roman" w:hAnsi="Times New Roman"/>
        </w:rPr>
        <w:fldChar w:fldCharType="separate"/>
      </w:r>
      <w:r>
        <w:t>中介服务</w:t>
      </w:r>
      <w:r>
        <w:tab/>
      </w:r>
      <w:r>
        <w:fldChar w:fldCharType="begin"/>
      </w:r>
      <w:r>
        <w:instrText xml:space="preserve"> PAGEREF _Toc1607593076 </w:instrText>
      </w:r>
      <w:r>
        <w:fldChar w:fldCharType="separate"/>
      </w:r>
      <w:r>
        <w:t>52</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_Toc919383888 </w:instrText>
      </w:r>
      <w:r>
        <w:rPr>
          <w:rFonts w:ascii="Times New Roman" w:hAnsi="Times New Roman"/>
        </w:rPr>
        <w:fldChar w:fldCharType="separate"/>
      </w:r>
      <w:r>
        <w:t>企业退出</w:t>
      </w:r>
      <w:r>
        <w:tab/>
      </w:r>
      <w:r>
        <w:fldChar w:fldCharType="begin"/>
      </w:r>
      <w:r>
        <w:instrText xml:space="preserve"> PAGEREF _Toc919383888 </w:instrText>
      </w:r>
      <w:r>
        <w:fldChar w:fldCharType="separate"/>
      </w:r>
      <w:r>
        <w:t>53</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_Toc38937798 </w:instrText>
      </w:r>
      <w:r>
        <w:rPr>
          <w:rFonts w:ascii="Times New Roman" w:hAnsi="Times New Roman"/>
        </w:rPr>
        <w:fldChar w:fldCharType="separate"/>
      </w:r>
      <w:r>
        <w:t>诉求办理</w:t>
      </w:r>
      <w:r>
        <w:tab/>
      </w:r>
      <w:r>
        <w:fldChar w:fldCharType="begin"/>
      </w:r>
      <w:r>
        <w:instrText xml:space="preserve"> PAGEREF _Toc38937798 </w:instrText>
      </w:r>
      <w:r>
        <w:fldChar w:fldCharType="separate"/>
      </w:r>
      <w:r>
        <w:t>54</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_Toc2097762486 </w:instrText>
      </w:r>
      <w:r>
        <w:rPr>
          <w:rFonts w:ascii="Times New Roman" w:hAnsi="Times New Roman"/>
        </w:rPr>
        <w:fldChar w:fldCharType="separate"/>
      </w:r>
      <w:r>
        <w:t>项目服务</w:t>
      </w:r>
      <w:r>
        <w:tab/>
      </w:r>
      <w:r>
        <w:fldChar w:fldCharType="begin"/>
      </w:r>
      <w:r>
        <w:instrText xml:space="preserve"> PAGEREF _Toc2097762486 </w:instrText>
      </w:r>
      <w:r>
        <w:fldChar w:fldCharType="separate"/>
      </w:r>
      <w:r>
        <w:t>55</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_Toc1766636927 </w:instrText>
      </w:r>
      <w:r>
        <w:rPr>
          <w:rFonts w:ascii="Times New Roman" w:hAnsi="Times New Roman"/>
        </w:rPr>
        <w:fldChar w:fldCharType="separate"/>
      </w:r>
      <w:r>
        <w:rPr>
          <w:rFonts w:hint="eastAsia" w:cs="Times New Roman"/>
          <w:lang w:eastAsia="zh-CN"/>
        </w:rPr>
        <w:t>山东省人民政府 关于印发2022年“稳中求进”高质量发展 政策清单（第一批）的通知</w:t>
      </w:r>
      <w:r>
        <w:tab/>
      </w:r>
      <w:r>
        <w:fldChar w:fldCharType="begin"/>
      </w:r>
      <w:r>
        <w:instrText xml:space="preserve"> PAGEREF _Toc1766636927 </w:instrText>
      </w:r>
      <w:r>
        <w:fldChar w:fldCharType="separate"/>
      </w:r>
      <w:r>
        <w:t>56</w:t>
      </w:r>
      <w:r>
        <w:fldChar w:fldCharType="end"/>
      </w:r>
      <w:r>
        <w:rPr>
          <w:rFonts w:ascii="Times New Roman" w:hAnsi="Times New Roman"/>
        </w:rPr>
        <w:fldChar w:fldCharType="end"/>
      </w:r>
    </w:p>
    <w:p>
      <w:pPr>
        <w:pStyle w:val="12"/>
        <w:tabs>
          <w:tab w:val="right" w:leader="dot" w:pos="6124"/>
        </w:tabs>
      </w:pPr>
      <w:r>
        <w:rPr>
          <w:rFonts w:ascii="Times New Roman" w:hAnsi="Times New Roman"/>
        </w:rPr>
        <w:fldChar w:fldCharType="begin"/>
      </w:r>
      <w:r>
        <w:rPr>
          <w:rFonts w:ascii="Times New Roman" w:hAnsi="Times New Roman"/>
        </w:rPr>
        <w:instrText xml:space="preserve"> HYPERLINK \l _Toc1883411696 </w:instrText>
      </w:r>
      <w:r>
        <w:rPr>
          <w:rFonts w:ascii="Times New Roman" w:hAnsi="Times New Roman"/>
        </w:rPr>
        <w:fldChar w:fldCharType="separate"/>
      </w:r>
      <w:r>
        <w:rPr>
          <w:rFonts w:hint="eastAsia" w:cs="Times New Roman"/>
          <w:lang w:eastAsia="zh-CN"/>
        </w:rPr>
        <w:t>山东省人民政府 关于印发2022年“稳中求进”高质量发展 政策清单（第</w:t>
      </w:r>
      <w:r>
        <w:rPr>
          <w:rFonts w:hint="default" w:cs="Times New Roman"/>
          <w:lang w:eastAsia="zh-CN"/>
        </w:rPr>
        <w:t>二</w:t>
      </w:r>
      <w:r>
        <w:rPr>
          <w:rFonts w:hint="eastAsia" w:cs="Times New Roman"/>
          <w:lang w:eastAsia="zh-CN"/>
        </w:rPr>
        <w:t>批）的通知</w:t>
      </w:r>
      <w:r>
        <w:tab/>
      </w:r>
      <w:r>
        <w:fldChar w:fldCharType="begin"/>
      </w:r>
      <w:r>
        <w:instrText xml:space="preserve"> PAGEREF _Toc1883411696 </w:instrText>
      </w:r>
      <w:r>
        <w:fldChar w:fldCharType="separate"/>
      </w:r>
      <w:r>
        <w:t>57</w:t>
      </w:r>
      <w:r>
        <w:fldChar w:fldCharType="end"/>
      </w:r>
      <w:r>
        <w:rPr>
          <w:rFonts w:ascii="Times New Roman" w:hAnsi="Times New Roman"/>
        </w:rPr>
        <w:fldChar w:fldCharType="end"/>
      </w:r>
    </w:p>
    <w:p>
      <w:pPr>
        <w:pStyle w:val="12"/>
        <w:rPr>
          <w:rFonts w:ascii="Times New Roman" w:hAnsi="Times New Roman"/>
        </w:rPr>
      </w:pPr>
      <w:r>
        <w:rPr>
          <w:rFonts w:ascii="Times New Roman" w:hAnsi="Times New Roman"/>
        </w:rPr>
        <w:fldChar w:fldCharType="end"/>
      </w:r>
    </w:p>
    <w:p>
      <w:pPr>
        <w:pStyle w:val="12"/>
        <w:rPr>
          <w:rFonts w:ascii="Times New Roman" w:hAnsi="Times New Roman"/>
        </w:rPr>
        <w:sectPr>
          <w:footerReference r:id="rId5" w:type="default"/>
          <w:pgSz w:w="8392" w:h="11850"/>
          <w:pgMar w:top="1361" w:right="1134" w:bottom="1361" w:left="1134" w:header="964" w:footer="964" w:gutter="0"/>
          <w:pgNumType w:fmt="decimal" w:start="1"/>
          <w:cols w:space="0" w:num="1"/>
          <w:rtlGutter w:val="0"/>
          <w:docGrid w:type="lines" w:linePitch="312" w:charSpace="0"/>
        </w:sectPr>
      </w:pPr>
    </w:p>
    <w:p>
      <w:pPr>
        <w:sectPr>
          <w:footerReference r:id="rId6" w:type="default"/>
          <w:pgSz w:w="8392" w:h="11850"/>
          <w:pgMar w:top="1361" w:right="1134" w:bottom="1361" w:left="1134" w:header="964" w:footer="964" w:gutter="0"/>
          <w:pgNumType w:fmt="decimal" w:start="1"/>
          <w:cols w:space="0" w:num="1"/>
          <w:rtlGutter w:val="0"/>
          <w:docGrid w:type="lines" w:linePitch="312" w:charSpace="0"/>
        </w:sectPr>
      </w:pPr>
    </w:p>
    <w:bookmarkEnd w:id="12"/>
    <w:bookmarkEnd w:id="13"/>
    <w:bookmarkEnd w:id="14"/>
    <w:p>
      <w:pPr>
        <w:pStyle w:val="2"/>
      </w:pPr>
      <w:bookmarkStart w:id="15" w:name="_Toc535529976"/>
      <w:bookmarkStart w:id="16" w:name="_Toc138298558"/>
      <w:bookmarkStart w:id="17" w:name="_Toc27461"/>
      <w:bookmarkStart w:id="18" w:name="_Toc1052306809"/>
      <w:bookmarkStart w:id="19" w:name="_Toc995203842"/>
      <w:bookmarkStart w:id="20" w:name="_Toc2137049551"/>
      <w:bookmarkStart w:id="21" w:name="_Toc178692532"/>
      <w:bookmarkStart w:id="22" w:name="_Toc1109477272"/>
      <w:bookmarkStart w:id="23" w:name="_Toc908942195"/>
      <w:bookmarkStart w:id="24" w:name="_Toc569543764"/>
      <w:r>
        <w:t>关于明确先进制造业增值税期末留抵退税政策的公告</w:t>
      </w:r>
      <w:bookmarkEnd w:id="15"/>
      <w:bookmarkEnd w:id="16"/>
      <w:bookmarkEnd w:id="17"/>
    </w:p>
    <w:p/>
    <w:p>
      <w:pPr>
        <w:bidi w:val="0"/>
        <w:rPr>
          <w:rFonts w:hint="eastAsia"/>
        </w:rPr>
      </w:pPr>
      <w:r>
        <w:rPr>
          <w:rFonts w:hint="eastAsia"/>
        </w:rPr>
        <w:t>自2021年4月1日起，同时符合以下条件的先进制造业纳税人，可以自2021年5月及以后纳税申报期向主管税务机关申请退还增量留抵税额：</w:t>
      </w:r>
    </w:p>
    <w:p>
      <w:pPr>
        <w:bidi w:val="0"/>
        <w:rPr>
          <w:rFonts w:hint="eastAsia"/>
        </w:rPr>
      </w:pPr>
      <w:r>
        <w:rPr>
          <w:rFonts w:hint="eastAsia"/>
        </w:rPr>
        <w:t>1.增量留抵税额大于零；</w:t>
      </w:r>
    </w:p>
    <w:p>
      <w:pPr>
        <w:bidi w:val="0"/>
        <w:rPr>
          <w:rFonts w:hint="eastAsia"/>
        </w:rPr>
      </w:pPr>
      <w:r>
        <w:rPr>
          <w:rFonts w:hint="eastAsia"/>
        </w:rPr>
        <w:t>2.纳税信用等级为A级或者B级；</w:t>
      </w:r>
    </w:p>
    <w:p>
      <w:pPr>
        <w:bidi w:val="0"/>
        <w:rPr>
          <w:rFonts w:hint="eastAsia"/>
        </w:rPr>
      </w:pPr>
      <w:r>
        <w:rPr>
          <w:rFonts w:hint="eastAsia"/>
        </w:rPr>
        <w:t>3.申请退税前36个月未发生骗取留抵退税、出口退税或虚开增值税专用发票情形；</w:t>
      </w:r>
    </w:p>
    <w:p>
      <w:pPr>
        <w:bidi w:val="0"/>
        <w:rPr>
          <w:rFonts w:hint="eastAsia"/>
        </w:rPr>
      </w:pPr>
      <w:r>
        <w:rPr>
          <w:rFonts w:hint="eastAsia"/>
        </w:rPr>
        <w:t>4.申请退税前36个月未因偷税被税务机关处罚两次及以上；</w:t>
      </w:r>
    </w:p>
    <w:p>
      <w:pPr>
        <w:bidi w:val="0"/>
        <w:rPr>
          <w:rFonts w:hint="eastAsia"/>
        </w:rPr>
      </w:pPr>
      <w:r>
        <w:rPr>
          <w:rFonts w:hint="eastAsia"/>
        </w:rPr>
        <w:t>5.自2019年4月1日起未享受即征即退、先征后返（退）政策。</w:t>
      </w:r>
    </w:p>
    <w:p>
      <w:pPr>
        <w:pStyle w:val="26"/>
        <w:bidi w:val="0"/>
      </w:pPr>
      <w:r>
        <w:drawing>
          <wp:inline distT="0" distB="0" distL="0" distR="0">
            <wp:extent cx="1080135" cy="1080135"/>
            <wp:effectExtent l="0" t="0" r="5715" b="571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noChangeArrowheads="1"/>
                    </pic:cNvPicPr>
                  </pic:nvPicPr>
                  <pic:blipFill>
                    <a:blip r:embed="rId9"/>
                    <a:srcRect l="7358" t="7764" r="6626" b="6220"/>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pPr>
      <w:bookmarkStart w:id="25" w:name="_Toc1698797979"/>
      <w:bookmarkStart w:id="26" w:name="_Toc497029933"/>
      <w:bookmarkStart w:id="27" w:name="_Toc9862"/>
      <w:r>
        <w:t>关于进一步完善研发费用税前加计扣除政策的公告</w:t>
      </w:r>
      <w:bookmarkEnd w:id="25"/>
      <w:bookmarkEnd w:id="26"/>
      <w:bookmarkEnd w:id="27"/>
    </w:p>
    <w:p/>
    <w:p>
      <w:pPr>
        <w:bidi w:val="0"/>
      </w:pPr>
      <w:r>
        <w:t>制造业企业开展研发活动中实际发生的研发费用，未形成无形资产计入当期损益的，在按规定据实扣除的基础上，自2021年1月1日起，再按照实际发生额的100%在税前加计扣除；形成无形资产的，自2021年1月1日起，按照无形资产成本的200%在税前摊销。</w:t>
      </w:r>
    </w:p>
    <w:p>
      <w:pPr>
        <w:pStyle w:val="26"/>
        <w:bidi w:val="0"/>
      </w:pPr>
      <w:r>
        <w:drawing>
          <wp:inline distT="0" distB="0" distL="0" distR="0">
            <wp:extent cx="1080135" cy="1080135"/>
            <wp:effectExtent l="0" t="0" r="5715" b="571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10"/>
                    <a:srcRect l="6232" t="6937" r="7349" b="6643"/>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pPr>
      <w:bookmarkStart w:id="28" w:name="_Toc1763052535"/>
      <w:bookmarkStart w:id="29" w:name="_Toc22951"/>
      <w:bookmarkStart w:id="30" w:name="_Toc1320222422"/>
      <w:r>
        <w:t>关于实施小微企业和个体工商户所得税优惠政策的公告</w:t>
      </w:r>
      <w:bookmarkEnd w:id="28"/>
      <w:bookmarkEnd w:id="29"/>
      <w:bookmarkEnd w:id="30"/>
    </w:p>
    <w:p/>
    <w:p>
      <w:pPr>
        <w:bidi w:val="0"/>
      </w:pPr>
      <w:r>
        <w:t>一、对小型微利企业年应纳税所得额不超过100万元的部分，在《财政部 税务总局关于实施小微企业普惠性税收减免政策的通知》（财税〔2019〕13号）第二条规定的优惠政策基础上，再减半征收企业所得税。</w:t>
      </w:r>
    </w:p>
    <w:p>
      <w:pPr>
        <w:bidi w:val="0"/>
      </w:pPr>
      <w:r>
        <w:t>二、对个体工商户年应纳税所得额不超过100万元的部分，在现行优惠政策基础上，减半征收个人所得税。</w:t>
      </w:r>
    </w:p>
    <w:p>
      <w:pPr>
        <w:pStyle w:val="26"/>
        <w:bidi w:val="0"/>
      </w:pPr>
      <w:r>
        <w:drawing>
          <wp:inline distT="0" distB="0" distL="0" distR="0">
            <wp:extent cx="1080135" cy="1080135"/>
            <wp:effectExtent l="0" t="0" r="5715" b="571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noChangeArrowheads="1"/>
                    </pic:cNvPicPr>
                  </pic:nvPicPr>
                  <pic:blipFill>
                    <a:blip r:embed="rId11"/>
                    <a:srcRect l="7533" t="7783" r="7433" b="7183"/>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rPr>
          <w:rFonts w:hint="eastAsia" w:eastAsia="方正小标宋简体"/>
          <w:lang w:eastAsia="zh-CN"/>
        </w:rPr>
      </w:pPr>
      <w:bookmarkStart w:id="31" w:name="_Toc2075821766"/>
      <w:bookmarkStart w:id="32" w:name="_Toc7943"/>
      <w:bookmarkStart w:id="33" w:name="_Toc157263346"/>
      <w:r>
        <w:t>关于明确增值税小规模纳税人</w:t>
      </w:r>
    </w:p>
    <w:p>
      <w:pPr>
        <w:pStyle w:val="2"/>
      </w:pPr>
      <w:r>
        <w:t>免征增值税政策的公告</w:t>
      </w:r>
      <w:bookmarkEnd w:id="31"/>
      <w:bookmarkEnd w:id="32"/>
      <w:bookmarkEnd w:id="33"/>
    </w:p>
    <w:p/>
    <w:p>
      <w:pPr>
        <w:bidi w:val="0"/>
      </w:pPr>
      <w:r>
        <w:t>自2021年4月1日至2022年12月31日，对月销售额15万元以下（含本数）的增值税小规模纳税人，免征增值税。</w:t>
      </w:r>
    </w:p>
    <w:p>
      <w:pPr>
        <w:pStyle w:val="26"/>
        <w:bidi w:val="0"/>
      </w:pPr>
      <w:r>
        <w:drawing>
          <wp:inline distT="0" distB="0" distL="0" distR="0">
            <wp:extent cx="1080135" cy="1080135"/>
            <wp:effectExtent l="0" t="0" r="5715" b="571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12"/>
                    <a:srcRect l="6367" t="6367" r="6767" b="6767"/>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rPr>
          <w:rFonts w:hint="eastAsia" w:eastAsia="方正小标宋简体"/>
          <w:lang w:eastAsia="zh-CN"/>
        </w:rPr>
      </w:pPr>
      <w:bookmarkStart w:id="34" w:name="_Toc1222354614"/>
      <w:bookmarkStart w:id="35" w:name="_Toc944101835"/>
      <w:bookmarkStart w:id="36" w:name="_Toc20267"/>
      <w:r>
        <w:t>财政部 国家税务总局 科技部</w:t>
      </w:r>
    </w:p>
    <w:p>
      <w:pPr>
        <w:pStyle w:val="2"/>
      </w:pPr>
      <w:r>
        <w:t>关于完善研究开发费用税前加计扣除政策的通知</w:t>
      </w:r>
      <w:bookmarkEnd w:id="34"/>
      <w:bookmarkEnd w:id="35"/>
      <w:bookmarkEnd w:id="36"/>
    </w:p>
    <w:p/>
    <w:p>
      <w:r>
        <w:t>企业开展研发活动中实际发生的研发费用，未形成无形资产计入当期损益的，在按规定据实扣除的基础上，按照本年度实际发生额的50%，从本年度应纳税所得额中扣除；形成无形资产的，按照无形资产成本的150%在税前摊销。</w:t>
      </w:r>
    </w:p>
    <w:p>
      <w:pPr>
        <w:pStyle w:val="26"/>
        <w:bidi w:val="0"/>
      </w:pPr>
      <w:r>
        <w:drawing>
          <wp:inline distT="0" distB="0" distL="0" distR="0">
            <wp:extent cx="1080135" cy="1080135"/>
            <wp:effectExtent l="0" t="0" r="5715" b="571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noChangeArrowheads="1"/>
                    </pic:cNvPicPr>
                  </pic:nvPicPr>
                  <pic:blipFill>
                    <a:blip r:embed="rId13"/>
                    <a:srcRect l="6033" t="6483" r="6433" b="5983"/>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pPr>
      <w:bookmarkStart w:id="37" w:name="_Toc1963999948"/>
      <w:bookmarkStart w:id="38" w:name="_Toc1992122484"/>
      <w:bookmarkStart w:id="39" w:name="_Toc23704"/>
      <w:r>
        <w:t>山东省“专精特新”中小企业认定管理办法</w:t>
      </w:r>
      <w:bookmarkEnd w:id="37"/>
      <w:bookmarkEnd w:id="38"/>
      <w:bookmarkEnd w:id="39"/>
    </w:p>
    <w:p/>
    <w:p>
      <w:r>
        <w:rPr>
          <w:rFonts w:hint="eastAsia"/>
        </w:rPr>
        <w:t>为深入贯彻党中央、国务院关于促进中小企业健康发展的一系列决策部署，全面落实省委、省政府关于推动中小企业高质量发展的若干政策措施，引导我省中小企业走专业化、精细化、特色化、创新化发展道路，进一步规范山东省“专精特新”中小企业的认定管理，实施科学综合评价，根据《中华人民共和国中小企业促进法》和《工业和信息化部关于促进中小企业“专精特新”发展的指导意见》（工信部企业〔2013〕264号），结合我省中小企业发展实际，制定本办法。</w:t>
      </w:r>
    </w:p>
    <w:p>
      <w:pPr>
        <w:pStyle w:val="26"/>
        <w:bidi w:val="0"/>
      </w:pPr>
      <w:r>
        <w:drawing>
          <wp:inline distT="0" distB="0" distL="0" distR="0">
            <wp:extent cx="1080135" cy="1080135"/>
            <wp:effectExtent l="0" t="0" r="5715" b="571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noChangeArrowheads="1"/>
                    </pic:cNvPicPr>
                  </pic:nvPicPr>
                  <pic:blipFill>
                    <a:blip r:embed="rId14"/>
                    <a:srcRect l="6033" t="6133" r="6433" b="6333"/>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pPr>
      <w:bookmarkStart w:id="40" w:name="_Toc1553691359"/>
      <w:bookmarkStart w:id="41" w:name="_Toc1853904563"/>
      <w:bookmarkStart w:id="42" w:name="_Toc14800"/>
      <w:r>
        <w:t>山东省瞪羚、独角兽企业认定管理办法</w:t>
      </w:r>
      <w:bookmarkEnd w:id="40"/>
      <w:bookmarkEnd w:id="41"/>
      <w:bookmarkEnd w:id="42"/>
    </w:p>
    <w:p/>
    <w:p>
      <w:r>
        <w:rPr>
          <w:rFonts w:hint="eastAsia"/>
        </w:rPr>
        <w:t>为落实《中共山东省委 山东省人民政府关于支持非公有制经济健康发展的十条意见》（鲁发〔2017〕21号）、《山东省人民政府关于印发山东省新旧动能转换重大工程实施规划的通知》（鲁政发〔2018〕7号）和《山东省人民政府关于支持民营经济高质量发展的若干意见》（鲁政发〔2018〕26号）等文件精神，进一步规范瞪羚、独角兽企业的认定管理工作，提高开展瞪羚、独角兽企业培育行动的精准度和实效性，制定本办法。</w:t>
      </w:r>
    </w:p>
    <w:p>
      <w:pPr>
        <w:pStyle w:val="26"/>
        <w:bidi w:val="0"/>
      </w:pPr>
      <w:r>
        <w:drawing>
          <wp:inline distT="0" distB="0" distL="0" distR="0">
            <wp:extent cx="1080135" cy="1080135"/>
            <wp:effectExtent l="0" t="0" r="5715" b="571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noChangeArrowheads="1"/>
                    </pic:cNvPicPr>
                  </pic:nvPicPr>
                  <pic:blipFill>
                    <a:blip r:embed="rId15"/>
                    <a:srcRect l="6567" t="6467" r="6467" b="6567"/>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pPr>
      <w:bookmarkStart w:id="43" w:name="_Toc1558560925"/>
      <w:bookmarkStart w:id="44" w:name="_Toc13823"/>
      <w:bookmarkStart w:id="45" w:name="_Toc1213371587"/>
      <w:r>
        <w:t>山东省制造业单项冠军企业培育提升专项行动实施方案</w:t>
      </w:r>
      <w:bookmarkEnd w:id="43"/>
      <w:bookmarkEnd w:id="44"/>
      <w:bookmarkEnd w:id="45"/>
    </w:p>
    <w:p/>
    <w:p>
      <w:r>
        <w:t>以建设制造强省为根本任务，以企业为主体，以市场为导向，开展制造业单项冠军企业培育提升专项行动，加强示范引领和政策支持，引导企业长期专注于细分产品市场的创新、产品质量提升和品牌培育，促进单项冠军企业进一步做优做强，带动和培育一批企业成长为单项冠军企业，提升我省制造业核心竞争力，推动产业迈向中高端。</w:t>
      </w:r>
    </w:p>
    <w:p>
      <w:pPr>
        <w:pStyle w:val="26"/>
        <w:bidi w:val="0"/>
      </w:pPr>
      <w:r>
        <w:drawing>
          <wp:inline distT="0" distB="0" distL="0" distR="0">
            <wp:extent cx="1080135" cy="1080135"/>
            <wp:effectExtent l="0" t="0" r="5715" b="571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noChangeArrowheads="1"/>
                    </pic:cNvPicPr>
                  </pic:nvPicPr>
                  <pic:blipFill>
                    <a:blip r:embed="rId16"/>
                    <a:srcRect l="6533" t="6533" r="7433" b="7433"/>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pPr>
      <w:bookmarkStart w:id="46" w:name="_Toc25432"/>
      <w:bookmarkStart w:id="47" w:name="_Toc1437340597"/>
      <w:bookmarkStart w:id="48" w:name="_Toc288228202"/>
      <w:r>
        <w:t>山东省“双招双引”政策汇编</w:t>
      </w:r>
      <w:bookmarkEnd w:id="46"/>
      <w:bookmarkEnd w:id="47"/>
      <w:bookmarkEnd w:id="48"/>
    </w:p>
    <w:p/>
    <w:p>
      <w:r>
        <w:t>全面梳理了2018年以来全省“双招双引”领域的减税降费、用地保障、信贷支持、人才引进、财政奖补、“放管服”服务、科技创新等七方面重点政策措施条目式清单，共汇集政策788条。</w:t>
      </w:r>
    </w:p>
    <w:p>
      <w:r>
        <w:t>枣庄市“双招双引”重点政策：人才引进，重大项目优惠政策，产业发展，枣庄国家高新技术开发区减税降费、人才引进、财政奖补、“放管服”服务，滕州经济开发区减税降费、用地保障、信贷支持、财政奖补、人才引进、“放管服”服务。</w:t>
      </w:r>
    </w:p>
    <w:p>
      <w:pPr>
        <w:pStyle w:val="26"/>
        <w:bidi w:val="0"/>
      </w:pPr>
      <w:r>
        <w:drawing>
          <wp:inline distT="0" distB="0" distL="0" distR="0">
            <wp:extent cx="1080135" cy="1080135"/>
            <wp:effectExtent l="0" t="0" r="5715" b="571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noChangeArrowheads="1"/>
                    </pic:cNvPicPr>
                  </pic:nvPicPr>
                  <pic:blipFill>
                    <a:blip r:embed="rId17"/>
                    <a:srcRect l="7067" t="6733" r="7400" b="7733"/>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pPr>
      <w:bookmarkStart w:id="49" w:name="_Toc7499"/>
      <w:bookmarkStart w:id="50" w:name="_Toc1750550474"/>
      <w:bookmarkStart w:id="51" w:name="_Toc945899658"/>
      <w:r>
        <w:t>山东省企业技术中心认定管理办法</w:t>
      </w:r>
      <w:bookmarkEnd w:id="49"/>
      <w:bookmarkEnd w:id="50"/>
      <w:bookmarkEnd w:id="51"/>
    </w:p>
    <w:p/>
    <w:p>
      <w:pPr>
        <w:rPr>
          <w:rFonts w:hint="eastAsia"/>
        </w:rPr>
      </w:pPr>
      <w:r>
        <w:rPr>
          <w:rFonts w:hint="eastAsia"/>
        </w:rPr>
        <w:t>开发新技术、新产品、新工艺发生的研究开发费用，未形成无形资产计入当期损益的，在按规定据实扣除的基础上，按照本年度实际发生额的75%，从本年度应纳税所得额中扣除；形成无形资产的，按照无形资产成本的175%在税前摊销。其中，制造业企业加计扣除比例提高至100%。</w:t>
      </w:r>
    </w:p>
    <w:p>
      <w:pPr>
        <w:rPr>
          <w:rFonts w:hint="eastAsia"/>
        </w:rPr>
      </w:pPr>
      <w:r>
        <w:rPr>
          <w:rFonts w:hint="eastAsia"/>
        </w:rPr>
        <w:t>拥有省级企业技术中心的科技型企业，根据年销售收入、研发投入占比等指标，按规定享受企业研究开发投入财政奖补政策，单个企业年度最高补助600万元。</w:t>
      </w:r>
    </w:p>
    <w:p>
      <w:r>
        <w:rPr>
          <w:rFonts w:hint="eastAsia"/>
        </w:rPr>
        <w:t>省级企业技术中心由于技术进步、产品更新换代较快，或常年处于强震动、高腐蚀状态的固定资产，可以采取缩短折旧年限或者采取加速折旧的办法，享受固定资产加速折旧企业所得税政策。</w:t>
      </w:r>
    </w:p>
    <w:p>
      <w:pPr>
        <w:pStyle w:val="26"/>
        <w:bidi w:val="0"/>
      </w:pPr>
      <w:r>
        <w:drawing>
          <wp:inline distT="0" distB="0" distL="0" distR="0">
            <wp:extent cx="1080135" cy="1080135"/>
            <wp:effectExtent l="0" t="0" r="5715" b="571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noChangeArrowheads="1"/>
                    </pic:cNvPicPr>
                  </pic:nvPicPr>
                  <pic:blipFill>
                    <a:blip r:embed="rId18"/>
                    <a:srcRect l="6867" t="6867" r="7267" b="7267"/>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pPr>
      <w:bookmarkStart w:id="52" w:name="_Toc1818023930"/>
      <w:bookmarkStart w:id="53" w:name="_Toc20307"/>
      <w:bookmarkStart w:id="54" w:name="_Toc334680287"/>
      <w:r>
        <w:t>山东省技术创新中心建设方案</w:t>
      </w:r>
      <w:bookmarkEnd w:id="52"/>
      <w:bookmarkEnd w:id="53"/>
      <w:bookmarkEnd w:id="54"/>
    </w:p>
    <w:p/>
    <w:p>
      <w:r>
        <w:t>省技术创新中心获得批复后，由省级财政资金给予相应的启动建设经费支持，支持其实施面向产业发展重大需求、突破产业重大关键核心技术、具有战略性带动作用的重大技术创新项目。对于企业牵头建设的省技术创新中心，省级财政资金给予500万元经费支持；对于高等学校、科研院所等牵头建设的，省级财政资金给予1000万元经费支持。省科技厅与省技术创新中心所在设区市人民政府或省直主管部门签署协议，按责任分工在政策、资金、项目、土地、人才、基础设施等方面为中心建设发展提供支持保障。同时，鼓励省技术创新中心建设单位探索多元化投融资渠道，成立产业投资基金或利用社会捐赠、股权投资等多种形式吸引社会资本参与建设，形成省市联动、企业、社会等多方投入的多元化投入机制。对升级为国家技术创新中心的省技术创新中心，省级财政资金给予每个1000万元经费支持。</w:t>
      </w:r>
    </w:p>
    <w:p>
      <w:pPr>
        <w:pStyle w:val="26"/>
        <w:bidi w:val="0"/>
      </w:pPr>
      <w:r>
        <w:drawing>
          <wp:inline distT="0" distB="0" distL="0" distR="0">
            <wp:extent cx="1080135" cy="1080135"/>
            <wp:effectExtent l="0" t="0" r="5715" b="571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noChangeArrowheads="1"/>
                    </pic:cNvPicPr>
                  </pic:nvPicPr>
                  <pic:blipFill>
                    <a:blip r:embed="rId19"/>
                    <a:srcRect l="6167" t="5767" r="6567" b="6967"/>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pPr>
      <w:bookmarkStart w:id="55" w:name="_Toc30121"/>
      <w:bookmarkStart w:id="56" w:name="_Toc1201672117"/>
      <w:bookmarkStart w:id="57" w:name="_Toc1610081196"/>
      <w:r>
        <w:t>关于开展技能兴鲁行动加强技能人才
队伍建设的若干措施</w:t>
      </w:r>
      <w:bookmarkEnd w:id="55"/>
      <w:bookmarkEnd w:id="56"/>
      <w:bookmarkEnd w:id="57"/>
    </w:p>
    <w:p/>
    <w:p>
      <w:r>
        <w:t>启动新一轮齐鲁技能大师特色工作站建设。依托技术技能含量较高的行业、大中型企业和院校中高技能领军人才以及部分掌握传统技能、民间绝技和非物质文化遗产的技能大师，围绕高科技产业、战略性新兴产业、先进制造业、现代服务业和经济社会发展急需、紧缺行业（领域），建设100所左右的特色工作站，每个工作站给予20万元建设补助资金，开展带徒传技、技能攻关、技艺传承、技能推广等活动。</w:t>
      </w:r>
    </w:p>
    <w:p>
      <w:r>
        <w:t>加强技艺技能培育传承。鼓励企业自主设立技能大师工作室（站）、劳模和工匠人才创新工作室等人才工作平台，开展“传、帮、带”培育活动，使更多的职工成为企业技术技能骨干。对“齐鲁大工匠”“齐鲁工匠”领衔创建的“劳模和工匠人才创新工作室”，给予一次性30万元、5万元创新资金资助，充分发挥工匠人才的作用。</w:t>
      </w:r>
    </w:p>
    <w:p>
      <w:r>
        <w:t>加强高技能领军人才培养引进。依托泰山产业领军人才工程，围绕新时代现代化强省建设，面向国内外加强高技能领军人才引进培养。高技能领军人才所依托的用人单位可直接设立山东省技师工作站，开展技术革新、技能攻关等活动。对国家级技能大师工作室建设单位，在国家给予10万元建设补助资金基础上，根据绩效考核情况给予不低于10万元的奖补资金。</w:t>
      </w:r>
    </w:p>
    <w:p>
      <w:r>
        <w:t>完善高技能领军人才奖励体系。申请设立“齐鲁技能大奖”，在高技能领军人才中每两年选拔10人，给予一次性30万元奖励并优先推荐评选“中华技能大奖”。完善齐鲁首席技师选拔管理制度，加大对企业优秀高技能人才支持力度，管理期内每人每月给予不低于1000元津贴。在科研院所、各类院校和企业教育教学、生产一线工作人员中，每两年选拔100名左右同时具有高级专业技术职称、高级技师职业资格的“山东省技术技能大师”，按规定予以奖励。</w:t>
      </w:r>
    </w:p>
    <w:p>
      <w:pPr>
        <w:pStyle w:val="26"/>
        <w:bidi w:val="0"/>
      </w:pPr>
      <w:r>
        <w:drawing>
          <wp:inline distT="0" distB="0" distL="0" distR="0">
            <wp:extent cx="1080135" cy="1080135"/>
            <wp:effectExtent l="0" t="0" r="5715" b="571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noChangeArrowheads="1"/>
                    </pic:cNvPicPr>
                  </pic:nvPicPr>
                  <pic:blipFill>
                    <a:blip r:embed="rId20"/>
                    <a:srcRect l="5933" t="6133" r="4733" b="4533"/>
                    <a:stretch>
                      <a:fillRect/>
                    </a:stretch>
                  </pic:blipFill>
                  <pic:spPr>
                    <a:xfrm>
                      <a:off x="0" y="0"/>
                      <a:ext cx="1080135" cy="1080135"/>
                    </a:xfrm>
                    <a:prstGeom prst="rect">
                      <a:avLst/>
                    </a:prstGeom>
                  </pic:spPr>
                </pic:pic>
              </a:graphicData>
            </a:graphic>
          </wp:inline>
        </w:drawing>
      </w:r>
    </w:p>
    <w:p>
      <w:pPr>
        <w:pStyle w:val="27"/>
        <w:bidi w:val="0"/>
      </w:pPr>
      <w:r>
        <w:t>扫码查看详细信息</w:t>
      </w:r>
    </w:p>
    <w:p>
      <w:r>
        <w:br w:type="page"/>
      </w:r>
    </w:p>
    <w:p>
      <w:pPr>
        <w:pStyle w:val="2"/>
        <w:bidi w:val="0"/>
        <w:rPr>
          <w:rFonts w:hint="eastAsia"/>
          <w:lang w:eastAsia="zh-CN"/>
        </w:rPr>
      </w:pPr>
      <w:bookmarkStart w:id="58" w:name="_Toc783986629"/>
      <w:bookmarkStart w:id="59" w:name="_Toc2145611172"/>
      <w:r>
        <w:rPr>
          <w:rFonts w:hint="eastAsia"/>
          <w:lang w:eastAsia="zh-CN"/>
        </w:rPr>
        <w:t>“枣惠达”财政奖补集成服务平台</w:t>
      </w:r>
      <w:bookmarkEnd w:id="18"/>
      <w:bookmarkEnd w:id="58"/>
      <w:bookmarkEnd w:id="59"/>
    </w:p>
    <w:p>
      <w:pPr>
        <w:bidi w:val="0"/>
        <w:rPr>
          <w:lang w:val="en-US" w:eastAsia="zh-CN"/>
        </w:rPr>
      </w:pPr>
    </w:p>
    <w:p>
      <w:pPr>
        <w:bidi w:val="0"/>
        <w:rPr>
          <w:color w:val="auto"/>
        </w:rPr>
      </w:pPr>
      <w:r>
        <w:rPr>
          <w:rFonts w:hint="eastAsia" w:ascii="仿宋_GB2312" w:hAnsi="仿宋_GB2312" w:eastAsia="仿宋_GB2312" w:cs="仿宋_GB2312"/>
          <w:color w:val="auto"/>
          <w:lang w:val="en-US" w:eastAsia="zh-CN"/>
        </w:rPr>
        <w:t>为优化营商环境、提升政务服务效能，规范涉企政策性补贴发放，实现涉企奖补政策免申即享、即申即办，达到各项政策兑现公开透明，各项纾困措施直达基层、直接惠及市场主体，提高财政资金使用效益，助推“工业强市、产业兴市”战略实施, 我市依托政务服务网建设财政奖补集成服务公开透明运行平台，通过搜索</w:t>
      </w:r>
      <w:r>
        <w:rPr>
          <w:rFonts w:hint="eastAsia" w:ascii="仿宋_GB2312" w:hAnsi="仿宋_GB2312" w:eastAsia="仿宋_GB2312" w:cs="仿宋_GB2312"/>
          <w:color w:val="auto"/>
          <w:lang w:val="en-US" w:eastAsia="zh-CN"/>
        </w:rPr>
        <w:fldChar w:fldCharType="begin"/>
      </w:r>
      <w:r>
        <w:rPr>
          <w:rFonts w:hint="eastAsia" w:ascii="仿宋_GB2312" w:hAnsi="仿宋_GB2312" w:eastAsia="仿宋_GB2312" w:cs="仿宋_GB2312"/>
          <w:color w:val="auto"/>
          <w:lang w:val="en-US" w:eastAsia="zh-CN"/>
        </w:rPr>
        <w:instrText xml:space="preserve"> HYPERLINK "http://zzzwfw.sd.gov.cn/zz/public/index" \t "/home/user/Documents\\x/_self" </w:instrText>
      </w:r>
      <w:r>
        <w:rPr>
          <w:rFonts w:hint="eastAsia" w:ascii="仿宋_GB2312" w:hAnsi="仿宋_GB2312" w:eastAsia="仿宋_GB2312" w:cs="仿宋_GB2312"/>
          <w:color w:val="auto"/>
          <w:lang w:val="en-US" w:eastAsia="zh-CN"/>
        </w:rPr>
        <w:fldChar w:fldCharType="separate"/>
      </w:r>
      <w:r>
        <w:rPr>
          <w:rStyle w:val="19"/>
          <w:rFonts w:hint="eastAsia" w:ascii="仿宋_GB2312" w:hAnsi="仿宋_GB2312" w:eastAsia="仿宋_GB2312" w:cs="仿宋_GB2312"/>
          <w:i w:val="0"/>
          <w:caps w:val="0"/>
          <w:color w:val="auto"/>
          <w:spacing w:val="0"/>
          <w:szCs w:val="31"/>
          <w:u w:val="none"/>
          <w:shd w:val="clear" w:fill="FFFFFF"/>
        </w:rPr>
        <w:t>山东政务网枣庄市-特色服务</w:t>
      </w:r>
      <w:r>
        <w:rPr>
          <w:rFonts w:hint="eastAsia" w:ascii="仿宋_GB2312" w:hAnsi="仿宋_GB2312" w:eastAsia="仿宋_GB2312" w:cs="仿宋_GB2312"/>
          <w:color w:val="auto"/>
          <w:lang w:val="en-US" w:eastAsia="zh-CN"/>
        </w:rPr>
        <w:fldChar w:fldCharType="end"/>
      </w:r>
      <w:r>
        <w:rPr>
          <w:rFonts w:hint="eastAsia" w:ascii="仿宋_GB2312" w:hAnsi="仿宋_GB2312" w:eastAsia="仿宋_GB2312" w:cs="仿宋_GB2312"/>
          <w:color w:val="auto"/>
          <w:lang w:val="en-US" w:eastAsia="zh-CN"/>
        </w:rPr>
        <w:t>，点击“枣惠达”即可进入。</w:t>
      </w:r>
    </w:p>
    <w:p>
      <w:pPr>
        <w:pStyle w:val="26"/>
        <w:bidi w:val="0"/>
        <w:rPr>
          <w:rFonts w:hint="eastAsia"/>
          <w:lang w:eastAsia="zh-CN"/>
        </w:rPr>
      </w:pPr>
      <w:r>
        <w:rPr>
          <w:rFonts w:hint="eastAsia"/>
          <w:lang w:eastAsia="zh-CN"/>
        </w:rPr>
        <w:drawing>
          <wp:inline distT="0" distB="0" distL="114300" distR="114300">
            <wp:extent cx="1080135" cy="1080135"/>
            <wp:effectExtent l="0" t="0" r="5715" b="5715"/>
            <wp:docPr id="43" name="图片 43" descr="枣惠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枣惠达"/>
                    <pic:cNvPicPr>
                      <a:picLocks noChangeAspect="1"/>
                    </pic:cNvPicPr>
                  </pic:nvPicPr>
                  <pic:blipFill>
                    <a:blip r:embed="rId21"/>
                    <a:stretch>
                      <a:fillRect/>
                    </a:stretch>
                  </pic:blipFill>
                  <pic:spPr>
                    <a:xfrm>
                      <a:off x="0" y="0"/>
                      <a:ext cx="1080135" cy="1080135"/>
                    </a:xfrm>
                    <a:prstGeom prst="rect">
                      <a:avLst/>
                    </a:prstGeom>
                  </pic:spPr>
                </pic:pic>
              </a:graphicData>
            </a:graphic>
          </wp:inline>
        </w:drawing>
      </w:r>
    </w:p>
    <w:p>
      <w:pPr>
        <w:pStyle w:val="27"/>
        <w:bidi w:val="0"/>
        <w:rPr>
          <w:rFonts w:hint="eastAsia" w:eastAsia="仿宋_GB2312"/>
          <w:lang w:eastAsia="zh-CN"/>
        </w:rPr>
      </w:pPr>
      <w:r>
        <w:t>扫码查看</w:t>
      </w:r>
      <w:r>
        <w:rPr>
          <w:rFonts w:hint="eastAsia"/>
          <w:lang w:eastAsia="zh-CN"/>
        </w:rPr>
        <w:t>平台</w:t>
      </w:r>
    </w:p>
    <w:p>
      <w:pPr>
        <w:bidi w:val="0"/>
        <w:rPr>
          <w:rFonts w:hint="eastAsia"/>
          <w:lang w:eastAsia="zh-CN"/>
        </w:rPr>
      </w:pPr>
    </w:p>
    <w:p>
      <w:r>
        <w:br w:type="page"/>
      </w:r>
    </w:p>
    <w:p>
      <w:pPr>
        <w:pStyle w:val="2"/>
        <w:bidi w:val="0"/>
      </w:pPr>
      <w:bookmarkStart w:id="60" w:name="_Toc2059373862"/>
      <w:bookmarkStart w:id="61" w:name="_Toc355025110"/>
      <w:bookmarkStart w:id="62" w:name="_Toc152803009"/>
      <w:r>
        <w:t>枣庄市“专精特新”中小企业认定管理办法</w:t>
      </w:r>
      <w:bookmarkEnd w:id="60"/>
      <w:bookmarkEnd w:id="61"/>
      <w:bookmarkEnd w:id="62"/>
    </w:p>
    <w:p>
      <w:pPr>
        <w:bidi w:val="0"/>
      </w:pPr>
    </w:p>
    <w:p>
      <w:pPr>
        <w:bidi w:val="0"/>
      </w:pPr>
      <w:r>
        <w:t>为进一步引导我市中小企业向专业化、精细化、特色化、创新化方向发展，提升中小企业综合竞争力，提高中小企业高质量发展，规范我市“专精特新”中小企业的管理，根据《中华人民共和国中小企业促进法》、《工业和信息化部关于促进中小企业“专精特新”发展的指导意见》（工信部企业〔2013〕264号）和《山东省“专精特新”中小企业认定管理办法》，结合我市实际，制定本办法。</w:t>
      </w:r>
    </w:p>
    <w:p>
      <w:pPr>
        <w:pStyle w:val="26"/>
        <w:bidi w:val="0"/>
        <w:rPr>
          <w:rFonts w:hint="eastAsia"/>
          <w:lang w:eastAsia="zh-CN"/>
        </w:rPr>
      </w:pPr>
      <w:r>
        <w:rPr>
          <w:rFonts w:hint="eastAsia"/>
          <w:lang w:eastAsia="zh-CN"/>
        </w:rPr>
        <w:drawing>
          <wp:inline distT="0" distB="0" distL="114300" distR="114300">
            <wp:extent cx="1080135" cy="1080135"/>
            <wp:effectExtent l="0" t="0" r="5715" b="5715"/>
            <wp:docPr id="26" name="图片 26" descr="市专精特新认定办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市专精特新认定办法"/>
                    <pic:cNvPicPr>
                      <a:picLocks noChangeAspect="1"/>
                    </pic:cNvPicPr>
                  </pic:nvPicPr>
                  <pic:blipFill>
                    <a:blip r:embed="rId22"/>
                    <a:stretch>
                      <a:fillRect/>
                    </a:stretch>
                  </pic:blipFill>
                  <pic:spPr>
                    <a:xfrm>
                      <a:off x="0" y="0"/>
                      <a:ext cx="1080135" cy="1080135"/>
                    </a:xfrm>
                    <a:prstGeom prst="rect">
                      <a:avLst/>
                    </a:prstGeom>
                  </pic:spPr>
                </pic:pic>
              </a:graphicData>
            </a:graphic>
          </wp:inline>
        </w:drawing>
      </w:r>
    </w:p>
    <w:p>
      <w:pPr>
        <w:pStyle w:val="27"/>
        <w:bidi w:val="0"/>
      </w:pPr>
      <w:r>
        <w:t>扫码查看政策</w:t>
      </w:r>
    </w:p>
    <w:p>
      <w:pPr>
        <w:bidi w:val="0"/>
        <w:rPr>
          <w:rFonts w:hint="eastAsia"/>
          <w:lang w:eastAsia="zh-CN"/>
        </w:rPr>
      </w:pPr>
      <w:r>
        <w:rPr>
          <w:rFonts w:hint="eastAsia"/>
          <w:lang w:eastAsia="zh-CN"/>
        </w:rPr>
        <w:br w:type="page"/>
      </w:r>
    </w:p>
    <w:p>
      <w:pPr>
        <w:pStyle w:val="2"/>
        <w:bidi w:val="0"/>
      </w:pPr>
      <w:bookmarkStart w:id="63" w:name="_Toc75734273"/>
      <w:bookmarkStart w:id="64" w:name="_Toc1076840921"/>
      <w:r>
        <w:t>建立产业发展投资平台</w:t>
      </w:r>
      <w:bookmarkEnd w:id="19"/>
      <w:bookmarkEnd w:id="20"/>
      <w:bookmarkEnd w:id="21"/>
      <w:bookmarkEnd w:id="22"/>
      <w:bookmarkEnd w:id="23"/>
      <w:bookmarkEnd w:id="24"/>
      <w:bookmarkEnd w:id="63"/>
      <w:bookmarkEnd w:id="64"/>
    </w:p>
    <w:p>
      <w:pPr>
        <w:bidi w:val="0"/>
      </w:pPr>
    </w:p>
    <w:p>
      <w:pPr>
        <w:bidi w:val="0"/>
      </w:pPr>
      <w:r>
        <w:t>建立股权投资平台，设立财政资金股权投资基金，建立投贷联动机制，吸引金融信贷资金跟进，形成资金放大效应。建立基金支持平台，扩大引导基金规模，吸引社会资本支持优势企业沿产业链拓展。用好跨境产业金融体系，组合运用省、市、区三级基金“以投引招”，推进境外项目落地枣庄。</w:t>
      </w:r>
      <w:bookmarkStart w:id="65" w:name="_Toc1511830619"/>
      <w:bookmarkStart w:id="66" w:name="_Toc1214589737"/>
      <w:bookmarkStart w:id="67" w:name="_Toc1805592892"/>
    </w:p>
    <w:p>
      <w:pPr>
        <w:pStyle w:val="26"/>
        <w:bidi w:val="0"/>
      </w:pPr>
      <w:bookmarkStart w:id="68" w:name="_Toc1290432725"/>
      <w:r>
        <w:drawing>
          <wp:inline distT="0" distB="0" distL="0" distR="0">
            <wp:extent cx="1080135" cy="1080135"/>
            <wp:effectExtent l="0" t="0" r="5715" b="5715"/>
            <wp:docPr id="1" name="图片 1" descr="一、建立产业发展投资平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一、建立产业发展投资平台"/>
                    <pic:cNvPicPr>
                      <a:picLocks noChangeAspect="1" noChangeArrowheads="1"/>
                    </pic:cNvPicPr>
                  </pic:nvPicPr>
                  <pic:blipFill>
                    <a:blip r:embed="rId23"/>
                    <a:srcRect/>
                    <a:stretch>
                      <a:fillRect/>
                    </a:stretch>
                  </pic:blipFill>
                  <pic:spPr>
                    <a:xfrm>
                      <a:off x="0" y="0"/>
                      <a:ext cx="1080135" cy="1080135"/>
                    </a:xfrm>
                    <a:prstGeom prst="rect">
                      <a:avLst/>
                    </a:prstGeom>
                    <a:noFill/>
                    <a:ln w="9525">
                      <a:noFill/>
                      <a:miter lim="800000"/>
                      <a:headEnd/>
                      <a:tailEnd/>
                    </a:ln>
                  </pic:spPr>
                </pic:pic>
              </a:graphicData>
            </a:graphic>
          </wp:inline>
        </w:drawing>
      </w:r>
      <w:bookmarkEnd w:id="68"/>
    </w:p>
    <w:p>
      <w:pPr>
        <w:pStyle w:val="27"/>
        <w:bidi w:val="0"/>
      </w:pPr>
      <w:r>
        <w:t>扫码查看政策：建立产业发展投资平台</w:t>
      </w:r>
    </w:p>
    <w:p>
      <w:pPr>
        <w:bidi w:val="0"/>
        <w:rPr>
          <w:rFonts w:ascii="Times New Roman" w:hAnsi="Times New Roman" w:eastAsia="黑体"/>
          <w:color w:val="000000"/>
          <w:sz w:val="32"/>
          <w:szCs w:val="32"/>
        </w:rPr>
      </w:pPr>
      <w:r>
        <w:rPr>
          <w:rFonts w:ascii="Times New Roman" w:hAnsi="Times New Roman" w:eastAsia="黑体"/>
          <w:color w:val="000000"/>
          <w:sz w:val="32"/>
          <w:szCs w:val="32"/>
        </w:rPr>
        <w:br w:type="page"/>
      </w:r>
    </w:p>
    <w:p>
      <w:pPr>
        <w:pStyle w:val="2"/>
        <w:bidi w:val="0"/>
        <w:rPr>
          <w:rStyle w:val="25"/>
        </w:rPr>
      </w:pPr>
      <w:bookmarkStart w:id="69" w:name="_Toc155390870"/>
      <w:bookmarkStart w:id="70" w:name="_Toc677391976"/>
      <w:bookmarkStart w:id="71" w:name="_Toc221369329"/>
      <w:bookmarkStart w:id="72" w:name="_Toc330499479"/>
      <w:bookmarkStart w:id="73" w:name="_Toc1124765410"/>
      <w:r>
        <w:rPr>
          <w:rStyle w:val="25"/>
        </w:rPr>
        <w:t>加大智能制造支持力度</w:t>
      </w:r>
      <w:bookmarkEnd w:id="65"/>
      <w:bookmarkEnd w:id="66"/>
      <w:bookmarkEnd w:id="67"/>
      <w:bookmarkEnd w:id="69"/>
      <w:bookmarkEnd w:id="70"/>
      <w:bookmarkEnd w:id="71"/>
      <w:bookmarkEnd w:id="72"/>
      <w:bookmarkEnd w:id="73"/>
    </w:p>
    <w:p>
      <w:pPr>
        <w:bidi w:val="0"/>
      </w:pPr>
    </w:p>
    <w:p>
      <w:pPr>
        <w:bidi w:val="0"/>
      </w:pPr>
      <w:r>
        <w:t>每年评选表彰10家市级智能工厂（数字车间），每家给予20万元一次性奖励。对新上机器人生产项目，固定资产投资（不含土地费用）超过2000万元且在机器人本体制造、关键部件、整机控制等具有核心技术的，按设备投资额的20%给予补助，最高不超过300万元。对智能装备制造企业年度营业收入首次达到10亿元、20亿元、50亿元的，且当年税收增速不低于全市税收增速，分别给予50万元、200万元、300万元一次性奖励。</w:t>
      </w:r>
    </w:p>
    <w:p>
      <w:pPr>
        <w:pStyle w:val="26"/>
        <w:bidi w:val="0"/>
      </w:pPr>
      <w:bookmarkStart w:id="74" w:name="_Toc1348506563"/>
      <w:bookmarkStart w:id="75" w:name="_Toc1258126654"/>
      <w:bookmarkStart w:id="76" w:name="_Toc1328883052"/>
      <w:r>
        <w:drawing>
          <wp:inline distT="0" distB="0" distL="0" distR="0">
            <wp:extent cx="1080135" cy="1080135"/>
            <wp:effectExtent l="0" t="0" r="5715" b="5715"/>
            <wp:docPr id="2" name="图片 2" descr="二、加大智能制造支持力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二、加大智能制造支持力度"/>
                    <pic:cNvPicPr>
                      <a:picLocks noChangeAspect="1" noChangeArrowheads="1"/>
                    </pic:cNvPicPr>
                  </pic:nvPicPr>
                  <pic:blipFill>
                    <a:blip r:embed="rId24"/>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扫码查看政策：加大智能制造支持力度</w:t>
      </w:r>
    </w:p>
    <w:p>
      <w:pPr>
        <w:jc w:val="left"/>
        <w:rPr>
          <w:rFonts w:ascii="Times New Roman" w:hAnsi="Times New Roman" w:eastAsia="黑体"/>
          <w:color w:val="000000"/>
          <w:sz w:val="32"/>
          <w:szCs w:val="32"/>
        </w:rPr>
      </w:pPr>
      <w:r>
        <w:rPr>
          <w:rFonts w:ascii="Times New Roman" w:hAnsi="Times New Roman" w:eastAsia="黑体"/>
          <w:color w:val="000000"/>
          <w:sz w:val="32"/>
          <w:szCs w:val="32"/>
        </w:rPr>
        <w:br w:type="page"/>
      </w:r>
    </w:p>
    <w:p>
      <w:pPr>
        <w:pStyle w:val="2"/>
        <w:keepNext/>
        <w:keepLines/>
        <w:pageBreakBefore w:val="0"/>
        <w:widowControl w:val="0"/>
        <w:kinsoku/>
        <w:wordWrap/>
        <w:overflowPunct/>
        <w:topLinePunct w:val="0"/>
        <w:autoSpaceDE/>
        <w:autoSpaceDN/>
        <w:bidi w:val="0"/>
        <w:adjustRightInd/>
        <w:snapToGrid/>
        <w:ind w:firstLine="0" w:firstLineChars="0"/>
        <w:textAlignment w:val="auto"/>
      </w:pPr>
      <w:bookmarkStart w:id="77" w:name="_Toc1582767949"/>
      <w:bookmarkStart w:id="78" w:name="_Toc183047852"/>
      <w:bookmarkStart w:id="79" w:name="_Toc1514539235"/>
      <w:bookmarkStart w:id="80" w:name="_Toc1981925670"/>
      <w:bookmarkStart w:id="81" w:name="_Toc1671207317"/>
      <w:r>
        <w:t>支持工业互联网发展</w:t>
      </w:r>
      <w:bookmarkEnd w:id="74"/>
      <w:bookmarkEnd w:id="75"/>
      <w:bookmarkEnd w:id="76"/>
      <w:bookmarkEnd w:id="77"/>
      <w:bookmarkEnd w:id="78"/>
      <w:bookmarkEnd w:id="79"/>
      <w:bookmarkEnd w:id="80"/>
      <w:bookmarkEnd w:id="81"/>
    </w:p>
    <w:p>
      <w:pPr>
        <w:bidi w:val="0"/>
      </w:pPr>
    </w:p>
    <w:p>
      <w:pPr>
        <w:bidi w:val="0"/>
      </w:pPr>
      <w:r>
        <w:t>支持具有引领作用的优秀工业互联网平台争创国家级、省级工业互联网平台，对争创成功的分别给予100万元、50万元资金奖励。每年在两化融合、企业上云、5G工业领域应用、工业互联网应用和平台建设等方面评选20家试点示范企业，每家试点示范企业给予20万元一次性奖励；获得国家级、省级试点示范的企业，在20万元基础上分别上浮30％、20%进行奖励；获认定的国家级、省级工业互联网平台不重复享受市级工业互联网平台试点示范奖励政策。</w:t>
      </w:r>
    </w:p>
    <w:p>
      <w:pPr>
        <w:pStyle w:val="26"/>
        <w:bidi w:val="0"/>
      </w:pPr>
      <w:bookmarkStart w:id="82" w:name="_Toc202417685"/>
      <w:bookmarkStart w:id="83" w:name="_Toc1270649598"/>
      <w:bookmarkStart w:id="84" w:name="_Toc1108723512"/>
      <w:r>
        <w:drawing>
          <wp:inline distT="0" distB="0" distL="0" distR="0">
            <wp:extent cx="1080135" cy="1080135"/>
            <wp:effectExtent l="0" t="0" r="5715" b="5715"/>
            <wp:docPr id="3" name="图片 3" descr="三、支持工业互联网发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三、支持工业互联网发展"/>
                    <pic:cNvPicPr>
                      <a:picLocks noChangeAspect="1" noChangeArrowheads="1"/>
                    </pic:cNvPicPr>
                  </pic:nvPicPr>
                  <pic:blipFill>
                    <a:blip r:embed="rId25"/>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扫码查看政策：支持工业互联网发展</w:t>
      </w:r>
    </w:p>
    <w:p>
      <w:pPr>
        <w:bidi w:val="0"/>
      </w:pPr>
      <w:r>
        <w:br w:type="page"/>
      </w:r>
    </w:p>
    <w:p>
      <w:pPr>
        <w:pStyle w:val="2"/>
        <w:bidi w:val="0"/>
        <w:rPr>
          <w:rFonts w:ascii="Times New Roman" w:hAnsi="Times New Roman" w:eastAsia="黑体"/>
          <w:color w:val="000000"/>
          <w:sz w:val="32"/>
          <w:szCs w:val="32"/>
        </w:rPr>
      </w:pPr>
      <w:bookmarkStart w:id="85" w:name="_Toc1428270186"/>
      <w:bookmarkStart w:id="86" w:name="_Toc593371611"/>
      <w:bookmarkStart w:id="87" w:name="_Toc2052969675"/>
      <w:bookmarkStart w:id="88" w:name="_Toc1063969204"/>
      <w:bookmarkStart w:id="89" w:name="_Toc151711888"/>
      <w:r>
        <w:rPr>
          <w:rStyle w:val="25"/>
        </w:rPr>
        <w:t>加强对重大技术改造扶持力度</w:t>
      </w:r>
      <w:bookmarkEnd w:id="82"/>
      <w:bookmarkEnd w:id="83"/>
      <w:bookmarkEnd w:id="84"/>
      <w:bookmarkEnd w:id="85"/>
      <w:bookmarkEnd w:id="86"/>
      <w:bookmarkEnd w:id="87"/>
      <w:bookmarkEnd w:id="88"/>
      <w:bookmarkEnd w:id="89"/>
    </w:p>
    <w:p>
      <w:pPr>
        <w:bidi w:val="0"/>
      </w:pPr>
    </w:p>
    <w:p>
      <w:pPr>
        <w:bidi w:val="0"/>
      </w:pPr>
      <w:r>
        <w:t>在继续执行原有支持企业技术改造政策基础上，对投资总额过10亿元的制造业重大技术改造项目加大奖补力度；按银行一年期贷款市场报价利率，项目所在地区（市）财政再给予50%的贴息，单个项目最多不超过2000万元，贴息期限不超过3年；按照当年实际到位设备或增值税发票（不含税价，仅限生产、研发、检测设备），市级财政补助比例提高至15%，项目所在地区（市）财政再给予5%的补助，单个项目最多不超过2000万元；申请贷款贴息和设备奖补的重大技术改造项目，须在我市市域内实施，并完成核准或备案，同一项目只能享受前述一项政策。奖补资金从新增税收的地方留成部分列支。</w:t>
      </w:r>
    </w:p>
    <w:p>
      <w:pPr>
        <w:pStyle w:val="26"/>
        <w:bidi w:val="0"/>
      </w:pPr>
      <w:r>
        <w:drawing>
          <wp:inline distT="0" distB="0" distL="0" distR="0">
            <wp:extent cx="1080135" cy="1080135"/>
            <wp:effectExtent l="0" t="0" r="5715" b="5715"/>
            <wp:docPr id="4" name="图片 4" descr="四、加强对重大技术改造扶持力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四、加强对重大技术改造扶持力度"/>
                    <pic:cNvPicPr>
                      <a:picLocks noChangeAspect="1" noChangeArrowheads="1"/>
                    </pic:cNvPicPr>
                  </pic:nvPicPr>
                  <pic:blipFill>
                    <a:blip r:embed="rId26"/>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bookmarkStart w:id="90" w:name="_Toc203905472"/>
      <w:bookmarkStart w:id="91" w:name="_Toc1983579279"/>
      <w:bookmarkStart w:id="92" w:name="_Toc744330719"/>
      <w:r>
        <w:t>扫码查看政策：加强对重大技术改造扶持力度</w:t>
      </w:r>
    </w:p>
    <w:p>
      <w:pPr>
        <w:bidi w:val="0"/>
      </w:pPr>
      <w:r>
        <w:br w:type="page"/>
      </w:r>
    </w:p>
    <w:p>
      <w:pPr>
        <w:pStyle w:val="2"/>
        <w:bidi w:val="0"/>
        <w:rPr>
          <w:rFonts w:ascii="Times New Roman" w:hAnsi="Times New Roman" w:eastAsia="黑体"/>
          <w:color w:val="000000"/>
          <w:sz w:val="32"/>
          <w:szCs w:val="32"/>
        </w:rPr>
      </w:pPr>
      <w:bookmarkStart w:id="93" w:name="_Toc1319169774"/>
      <w:bookmarkStart w:id="94" w:name="_Toc2135842894"/>
      <w:bookmarkStart w:id="95" w:name="_Toc515021258"/>
      <w:bookmarkStart w:id="96" w:name="_Toc769782212"/>
      <w:bookmarkStart w:id="97" w:name="_Toc1559513191"/>
      <w:r>
        <w:rPr>
          <w:rStyle w:val="25"/>
        </w:rPr>
        <w:t>推动高成长型企业发展</w:t>
      </w:r>
      <w:bookmarkEnd w:id="90"/>
      <w:bookmarkEnd w:id="91"/>
      <w:bookmarkEnd w:id="92"/>
      <w:bookmarkEnd w:id="93"/>
      <w:bookmarkEnd w:id="94"/>
      <w:bookmarkEnd w:id="95"/>
      <w:bookmarkEnd w:id="96"/>
      <w:bookmarkEnd w:id="97"/>
    </w:p>
    <w:p>
      <w:pPr>
        <w:bidi w:val="0"/>
      </w:pPr>
    </w:p>
    <w:p>
      <w:pPr>
        <w:bidi w:val="0"/>
      </w:pPr>
      <w:r>
        <w:t>新获得省级“专精特新”“瞪羚企业”和“一企一技术”“单项冠军”等认定的企业，分别给予10万元和20万元奖励；新获得国家级专精特新“小巨人”认定的企业，给予30万元奖励。同一年度同一企业被认定为同一称号的，不重复奖励，以最高级别给予奖励。对市级以上部门组织中小微企业参加的境内外大型展销活动展位费，给予50%补贴。</w:t>
      </w:r>
    </w:p>
    <w:p>
      <w:pPr>
        <w:pStyle w:val="26"/>
        <w:bidi w:val="0"/>
      </w:pPr>
      <w:r>
        <w:drawing>
          <wp:inline distT="0" distB="0" distL="0" distR="0">
            <wp:extent cx="1080135" cy="1080135"/>
            <wp:effectExtent l="0" t="0" r="5715" b="5715"/>
            <wp:docPr id="5" name="图片 5" descr="五、推动高成长型企业发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五、推动高成长型企业发展"/>
                    <pic:cNvPicPr>
                      <a:picLocks noChangeAspect="1" noChangeArrowheads="1"/>
                    </pic:cNvPicPr>
                  </pic:nvPicPr>
                  <pic:blipFill>
                    <a:blip r:embed="rId27"/>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扫码查看政策：推动高成长型企业发展</w:t>
      </w:r>
    </w:p>
    <w:p>
      <w:pPr>
        <w:jc w:val="left"/>
        <w:rPr>
          <w:rFonts w:ascii="Times New Roman" w:hAnsi="Times New Roman" w:eastAsia="黑体"/>
          <w:color w:val="000000"/>
          <w:sz w:val="32"/>
          <w:szCs w:val="32"/>
        </w:rPr>
      </w:pPr>
      <w:r>
        <w:rPr>
          <w:rFonts w:ascii="Times New Roman" w:hAnsi="Times New Roman" w:eastAsia="黑体"/>
          <w:color w:val="000000"/>
          <w:sz w:val="32"/>
          <w:szCs w:val="32"/>
        </w:rPr>
        <w:br w:type="page"/>
      </w:r>
    </w:p>
    <w:p>
      <w:pPr>
        <w:pStyle w:val="2"/>
        <w:bidi w:val="0"/>
        <w:rPr>
          <w:rFonts w:ascii="Times New Roman" w:hAnsi="Times New Roman" w:eastAsia="黑体"/>
          <w:color w:val="000000"/>
          <w:sz w:val="32"/>
          <w:szCs w:val="32"/>
        </w:rPr>
      </w:pPr>
      <w:bookmarkStart w:id="98" w:name="_Toc720180601"/>
      <w:bookmarkStart w:id="99" w:name="_Toc816048994"/>
      <w:bookmarkStart w:id="100" w:name="_Toc681226092"/>
      <w:bookmarkStart w:id="101" w:name="_Toc1416965878"/>
      <w:bookmarkStart w:id="102" w:name="_Toc426736164"/>
      <w:r>
        <w:rPr>
          <w:rStyle w:val="25"/>
        </w:rPr>
        <w:t>打造中小企业云平台</w:t>
      </w:r>
      <w:bookmarkEnd w:id="98"/>
      <w:bookmarkEnd w:id="99"/>
      <w:bookmarkEnd w:id="100"/>
      <w:bookmarkEnd w:id="101"/>
      <w:bookmarkEnd w:id="102"/>
    </w:p>
    <w:p>
      <w:pPr>
        <w:bidi w:val="0"/>
      </w:pPr>
    </w:p>
    <w:p>
      <w:pPr>
        <w:bidi w:val="0"/>
      </w:pPr>
      <w:r>
        <w:t>支持公共服务示范平台建设，对新评审的国家、省级“中小企业公共示范平台”分别给予50万元、30万元奖励。每年对市、区（市）两级中小企业公共服务平台进行数字化转型示范评比，设一、二、三等奖，分别给予30万元、20万元、10万元奖励。</w:t>
      </w:r>
    </w:p>
    <w:p>
      <w:pPr>
        <w:pStyle w:val="26"/>
        <w:bidi w:val="0"/>
      </w:pPr>
      <w:bookmarkStart w:id="103" w:name="_Toc388740339"/>
      <w:bookmarkStart w:id="104" w:name="_Toc35951042"/>
      <w:bookmarkStart w:id="105" w:name="_Toc1130328648"/>
      <w:r>
        <w:drawing>
          <wp:inline distT="0" distB="0" distL="0" distR="0">
            <wp:extent cx="1080135" cy="1080135"/>
            <wp:effectExtent l="0" t="0" r="5715" b="5715"/>
            <wp:docPr id="6" name="图片 6" descr="六、打造中小企业云平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六、打造中小企业云平台"/>
                    <pic:cNvPicPr>
                      <a:picLocks noChangeAspect="1" noChangeArrowheads="1"/>
                    </pic:cNvPicPr>
                  </pic:nvPicPr>
                  <pic:blipFill>
                    <a:blip r:embed="rId28"/>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扫码查看政策：打造中小企业云平台</w:t>
      </w:r>
    </w:p>
    <w:p>
      <w:pPr>
        <w:bidi w:val="0"/>
      </w:pPr>
      <w:r>
        <w:br w:type="page"/>
      </w:r>
    </w:p>
    <w:p>
      <w:pPr>
        <w:pStyle w:val="2"/>
        <w:bidi w:val="0"/>
        <w:rPr>
          <w:rFonts w:ascii="Times New Roman" w:hAnsi="Times New Roman" w:eastAsia="黑体"/>
          <w:color w:val="000000"/>
          <w:sz w:val="32"/>
          <w:szCs w:val="32"/>
        </w:rPr>
      </w:pPr>
      <w:bookmarkStart w:id="106" w:name="_Toc594189484"/>
      <w:bookmarkStart w:id="107" w:name="_Toc229934379"/>
      <w:bookmarkStart w:id="108" w:name="_Toc878541775"/>
      <w:bookmarkStart w:id="109" w:name="_Toc439863436"/>
      <w:bookmarkStart w:id="110" w:name="_Toc490169409"/>
      <w:r>
        <w:rPr>
          <w:rStyle w:val="25"/>
        </w:rPr>
        <w:t>加强融资服务体系建设</w:t>
      </w:r>
      <w:bookmarkEnd w:id="103"/>
      <w:bookmarkEnd w:id="104"/>
      <w:bookmarkEnd w:id="105"/>
      <w:bookmarkEnd w:id="106"/>
      <w:bookmarkEnd w:id="107"/>
      <w:bookmarkEnd w:id="108"/>
      <w:bookmarkEnd w:id="109"/>
      <w:bookmarkEnd w:id="110"/>
    </w:p>
    <w:p>
      <w:pPr>
        <w:bidi w:val="0"/>
      </w:pPr>
    </w:p>
    <w:p>
      <w:pPr>
        <w:bidi w:val="0"/>
      </w:pPr>
      <w:r>
        <w:t>对开展中小企业融资担保业务单户单笔担保金额1000万元及以下、担保费率1.5%以下的融资担保机构，按年担保总额进行奖励，年担保总额在2亿元（含2亿元）以上的，给予50万元奖励；1亿元（含1亿元）—2亿元的，给予30万元奖励；5000万元（含5000万元）—1亿元的，给予20万元奖励。对开展应急转贷业务每日转贷费率在0.1%以下、服务企业数50家以上、服务金额10亿元以上的应急转贷机构，按服务金额进行奖励，服务金额20亿元（含20亿元）以上的，给予50万元奖励；服务金额10亿—20亿元的，给予20万元奖励。优化农业信贷担保补助政策，确保政策性担保项目担保费率不超过1%。对在境内首发上市的企业和在境外首发上市且募集资金高于1亿元人民币的企业，一次性奖励1000万元；对通过资产重组等方式“借壳”上市并取得上市公司控制权后将注册地和纳税地迁至我市的企业（承诺不再迁出我市），一次性奖励800万元；对在新三板挂牌的企业一次性奖励100万元，对在精选层挂牌的企业一次性奖励300万元，对精选层转板上市的企业一次性奖励600万元；对在省内四板市场挂牌的企业，一次性奖励20万元。以上奖励在企业上市挂牌成功后一次性予以兑现，奖励资金从企业新增税收地方收入留成中补助。</w:t>
      </w:r>
    </w:p>
    <w:p>
      <w:pPr>
        <w:pStyle w:val="26"/>
        <w:bidi w:val="0"/>
      </w:pPr>
      <w:bookmarkStart w:id="111" w:name="_Toc1900090171"/>
      <w:bookmarkStart w:id="112" w:name="_Toc1819727847"/>
      <w:r>
        <w:drawing>
          <wp:inline distT="0" distB="0" distL="0" distR="0">
            <wp:extent cx="1080135" cy="1080135"/>
            <wp:effectExtent l="0" t="0" r="5715" b="5715"/>
            <wp:docPr id="7" name="图片 7" descr="七、加强融资服务体系建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七、加强融资服务体系建设"/>
                    <pic:cNvPicPr>
                      <a:picLocks noChangeAspect="1" noChangeArrowheads="1"/>
                    </pic:cNvPicPr>
                  </pic:nvPicPr>
                  <pic:blipFill>
                    <a:blip r:embed="rId29"/>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扫码查看政策：加强融资服务体系建设</w:t>
      </w:r>
    </w:p>
    <w:p>
      <w:pPr>
        <w:bidi w:val="0"/>
      </w:pPr>
      <w:r>
        <w:br w:type="page"/>
      </w:r>
    </w:p>
    <w:p>
      <w:pPr>
        <w:pStyle w:val="2"/>
        <w:bidi w:val="0"/>
        <w:rPr>
          <w:rFonts w:ascii="Times New Roman" w:hAnsi="Times New Roman" w:eastAsia="黑体"/>
          <w:color w:val="000000"/>
          <w:sz w:val="32"/>
          <w:szCs w:val="32"/>
        </w:rPr>
      </w:pPr>
      <w:bookmarkStart w:id="113" w:name="_Toc738811848"/>
      <w:bookmarkStart w:id="114" w:name="_Toc941989169"/>
      <w:bookmarkStart w:id="115" w:name="_Toc231453170"/>
      <w:bookmarkStart w:id="116" w:name="_Toc1662779586"/>
      <w:bookmarkStart w:id="117" w:name="_Toc847253039"/>
      <w:r>
        <w:rPr>
          <w:rStyle w:val="25"/>
        </w:rPr>
        <w:t>加强科研平台建设</w:t>
      </w:r>
      <w:bookmarkEnd w:id="111"/>
      <w:bookmarkEnd w:id="112"/>
      <w:bookmarkEnd w:id="113"/>
      <w:bookmarkEnd w:id="114"/>
      <w:bookmarkEnd w:id="115"/>
      <w:bookmarkEnd w:id="116"/>
      <w:bookmarkEnd w:id="117"/>
    </w:p>
    <w:p>
      <w:pPr>
        <w:bidi w:val="0"/>
      </w:pPr>
    </w:p>
    <w:p>
      <w:pPr>
        <w:bidi w:val="0"/>
      </w:pPr>
      <w:r>
        <w:t>对新获批的国家实验室、国家重点实验室、国家工程研究中心、国家新型研发机构、国家技术创新中心、国家企业技术中心、国家制造业创新中心、国家产业创新中心、国家工业设计中心，依据科研成果产业化形成的税收地方留成给予最高不超过1000万元的项目支持。对新获批的省级重点实验室、省级技术创新中心、省级新型研发机构、省级工程研究中心、省级企业技术中心，依据科研成果产业化形成的税收地方留成给予最高不超过500万元项目支持。对新认定的院士工作站、博士后工作站，凡在枣庄立项的成果转化项目给予200万元的资金支持。</w:t>
      </w:r>
      <w:bookmarkStart w:id="118" w:name="_Toc831571657"/>
      <w:bookmarkStart w:id="119" w:name="_Toc328380810"/>
      <w:bookmarkStart w:id="120" w:name="_Toc1943363534"/>
    </w:p>
    <w:p>
      <w:pPr>
        <w:pStyle w:val="26"/>
        <w:bidi w:val="0"/>
      </w:pPr>
      <w:r>
        <w:drawing>
          <wp:inline distT="0" distB="0" distL="0" distR="0">
            <wp:extent cx="1080135" cy="1080135"/>
            <wp:effectExtent l="0" t="0" r="5715" b="5715"/>
            <wp:docPr id="8" name="图片 8" descr="八、加强科研平台建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八、加强科研平台建设"/>
                    <pic:cNvPicPr>
                      <a:picLocks noChangeAspect="1" noChangeArrowheads="1"/>
                    </pic:cNvPicPr>
                  </pic:nvPicPr>
                  <pic:blipFill>
                    <a:blip r:embed="rId30"/>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扫码查看政策：加强科研平台建设</w:t>
      </w:r>
    </w:p>
    <w:p>
      <w:pPr>
        <w:bidi w:val="0"/>
      </w:pPr>
      <w:r>
        <w:br w:type="page"/>
      </w:r>
    </w:p>
    <w:p>
      <w:pPr>
        <w:pStyle w:val="2"/>
        <w:bidi w:val="0"/>
        <w:rPr>
          <w:rFonts w:ascii="Times New Roman" w:hAnsi="Times New Roman" w:eastAsia="黑体"/>
          <w:color w:val="000000"/>
          <w:sz w:val="32"/>
          <w:szCs w:val="32"/>
        </w:rPr>
      </w:pPr>
      <w:bookmarkStart w:id="121" w:name="_Toc1844473898"/>
      <w:bookmarkStart w:id="122" w:name="_Toc1783144230"/>
      <w:bookmarkStart w:id="123" w:name="_Toc1316275492"/>
      <w:bookmarkStart w:id="124" w:name="_Toc1173890109"/>
      <w:bookmarkStart w:id="125" w:name="_Toc1715607318"/>
      <w:r>
        <w:rPr>
          <w:rStyle w:val="25"/>
        </w:rPr>
        <w:t>建设专业研究机构</w:t>
      </w:r>
      <w:bookmarkEnd w:id="118"/>
      <w:bookmarkEnd w:id="119"/>
      <w:bookmarkEnd w:id="120"/>
      <w:bookmarkEnd w:id="121"/>
      <w:bookmarkEnd w:id="122"/>
      <w:bookmarkEnd w:id="123"/>
      <w:bookmarkEnd w:id="124"/>
      <w:bookmarkEnd w:id="125"/>
    </w:p>
    <w:p>
      <w:pPr>
        <w:bidi w:val="0"/>
      </w:pPr>
    </w:p>
    <w:p>
      <w:pPr>
        <w:bidi w:val="0"/>
      </w:pPr>
      <w:r>
        <w:t>积极对接山东产业技术研究院，市、院双方按照2:1比例共同出资建设山东产业技术研究院枣庄分院；积极争取高等院校、科研院所来我市设立分支机构，市财政给予每年100万元运行支持资金，连续支持5年。对高等院校、科研院所来我市设立综合性重大科技创新平台的，采取“一事一议”方式给予重点资金支持。对落户我市成为山东产业技术研究院专业研究所的，给予500万元项目支持。</w:t>
      </w:r>
    </w:p>
    <w:p>
      <w:pPr>
        <w:pStyle w:val="26"/>
        <w:bidi w:val="0"/>
      </w:pPr>
      <w:bookmarkStart w:id="126" w:name="_Toc2042813961"/>
      <w:bookmarkStart w:id="127" w:name="_Toc1557426390"/>
      <w:bookmarkStart w:id="128" w:name="_Toc937179660"/>
      <w:r>
        <w:drawing>
          <wp:inline distT="0" distB="0" distL="0" distR="0">
            <wp:extent cx="1080135" cy="1080135"/>
            <wp:effectExtent l="0" t="0" r="5715" b="5715"/>
            <wp:docPr id="9" name="图片 9" descr="九、建设专业研究机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九、建设专业研究机构"/>
                    <pic:cNvPicPr>
                      <a:picLocks noChangeAspect="1" noChangeArrowheads="1"/>
                    </pic:cNvPicPr>
                  </pic:nvPicPr>
                  <pic:blipFill>
                    <a:blip r:embed="rId31"/>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扫码查看政策：建设专业研究机构</w:t>
      </w:r>
    </w:p>
    <w:p>
      <w:pPr>
        <w:bidi w:val="0"/>
      </w:pPr>
      <w:r>
        <w:br w:type="page"/>
      </w:r>
    </w:p>
    <w:p>
      <w:pPr>
        <w:pStyle w:val="2"/>
        <w:bidi w:val="0"/>
        <w:rPr>
          <w:rFonts w:ascii="Times New Roman" w:hAnsi="Times New Roman" w:eastAsia="黑体"/>
          <w:color w:val="000000"/>
          <w:sz w:val="32"/>
          <w:szCs w:val="32"/>
        </w:rPr>
      </w:pPr>
      <w:bookmarkStart w:id="129" w:name="_Toc1964612726"/>
      <w:bookmarkStart w:id="130" w:name="_Toc891615403"/>
      <w:bookmarkStart w:id="131" w:name="_Toc1251959915"/>
      <w:bookmarkStart w:id="132" w:name="_Toc171766513"/>
      <w:bookmarkStart w:id="133" w:name="_Toc1921302889"/>
      <w:r>
        <w:rPr>
          <w:rStyle w:val="25"/>
        </w:rPr>
        <w:t>支持关键技术攻关</w:t>
      </w:r>
      <w:bookmarkEnd w:id="126"/>
      <w:bookmarkEnd w:id="127"/>
      <w:bookmarkEnd w:id="128"/>
      <w:bookmarkEnd w:id="129"/>
      <w:bookmarkEnd w:id="130"/>
      <w:bookmarkEnd w:id="131"/>
      <w:bookmarkEnd w:id="132"/>
      <w:bookmarkEnd w:id="133"/>
    </w:p>
    <w:p>
      <w:pPr>
        <w:bidi w:val="0"/>
      </w:pPr>
    </w:p>
    <w:p>
      <w:pPr>
        <w:bidi w:val="0"/>
        <w:rPr>
          <w:rFonts w:ascii="Times New Roman" w:hAnsi="Times New Roman" w:eastAsia="黑体"/>
          <w:color w:val="000000"/>
          <w:sz w:val="32"/>
          <w:szCs w:val="32"/>
        </w:rPr>
      </w:pPr>
      <w:r>
        <w:t>支持关键技术攻关。支持各类科技创新平台围绕全市“6+3”现代产业“卡脖子”技术开展“揭榜攻关”，获得国家、省重大科技项目立项的，市级财政给予最高500万元配套支持。高校、科研单位实施的落户我市的重大产业技术研发项目，按其获得的国家和省支持资金额度，给予最高500万元配套支持。支持全社会创新创造，对入选枣庄市“墨子创新奖”的单位和个人分别给予50万元和10万元的资金奖励。</w:t>
      </w:r>
    </w:p>
    <w:p>
      <w:pPr>
        <w:pStyle w:val="26"/>
        <w:bidi w:val="0"/>
      </w:pPr>
      <w:r>
        <w:drawing>
          <wp:inline distT="0" distB="0" distL="0" distR="0">
            <wp:extent cx="1080135" cy="1080135"/>
            <wp:effectExtent l="0" t="0" r="5715" b="5715"/>
            <wp:docPr id="10" name="图片 10" descr="十、支持关键技术攻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十、支持关键技术攻关"/>
                    <pic:cNvPicPr>
                      <a:picLocks noChangeAspect="1" noChangeArrowheads="1"/>
                    </pic:cNvPicPr>
                  </pic:nvPicPr>
                  <pic:blipFill>
                    <a:blip r:embed="rId32"/>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扫码查看政策：支持关键技术攻关</w:t>
      </w:r>
    </w:p>
    <w:p>
      <w:pPr>
        <w:bidi w:val="0"/>
      </w:pPr>
      <w:r>
        <w:br w:type="page"/>
      </w:r>
    </w:p>
    <w:p>
      <w:pPr>
        <w:pStyle w:val="2"/>
        <w:bidi w:val="0"/>
        <w:rPr>
          <w:rFonts w:ascii="Times New Roman" w:hAnsi="Times New Roman" w:eastAsia="黑体"/>
          <w:color w:val="000000"/>
          <w:sz w:val="32"/>
          <w:szCs w:val="32"/>
        </w:rPr>
      </w:pPr>
      <w:bookmarkStart w:id="134" w:name="_Toc1737502478"/>
      <w:bookmarkStart w:id="135" w:name="_Toc209947616"/>
      <w:bookmarkStart w:id="136" w:name="_Toc779097604"/>
      <w:bookmarkStart w:id="137" w:name="_Toc1278735124"/>
      <w:bookmarkStart w:id="138" w:name="_Toc367433639"/>
      <w:r>
        <w:rPr>
          <w:rStyle w:val="25"/>
        </w:rPr>
        <w:t>支持推进创新创业共同体建设</w:t>
      </w:r>
      <w:bookmarkEnd w:id="134"/>
      <w:bookmarkEnd w:id="135"/>
      <w:bookmarkEnd w:id="136"/>
      <w:bookmarkEnd w:id="137"/>
      <w:bookmarkEnd w:id="138"/>
    </w:p>
    <w:p>
      <w:pPr>
        <w:bidi w:val="0"/>
      </w:pPr>
    </w:p>
    <w:p>
      <w:pPr>
        <w:bidi w:val="0"/>
        <w:rPr>
          <w:rFonts w:ascii="Times New Roman" w:hAnsi="Times New Roman" w:eastAsia="黑体"/>
          <w:color w:val="000000"/>
          <w:sz w:val="32"/>
          <w:szCs w:val="32"/>
        </w:rPr>
      </w:pPr>
      <w:r>
        <w:t>获得省级创新创业共同体认定的，市级财政给予最高5000万元配套支持。新获得国家、省级认定的小型微型创业创新示范基地运营主体，分别给予100万元、50万元奖励；同一年度同一运营主体不重复奖励，以最高级别给予奖励。奖补资金从新增税收中列支。</w:t>
      </w:r>
      <w:bookmarkStart w:id="139" w:name="_Toc1088934160"/>
      <w:bookmarkStart w:id="140" w:name="_Toc164296099"/>
      <w:bookmarkStart w:id="141" w:name="_Toc1448087344"/>
    </w:p>
    <w:p>
      <w:pPr>
        <w:pStyle w:val="26"/>
        <w:bidi w:val="0"/>
      </w:pPr>
      <w:r>
        <w:drawing>
          <wp:inline distT="0" distB="0" distL="0" distR="0">
            <wp:extent cx="1080135" cy="1080135"/>
            <wp:effectExtent l="0" t="0" r="5715" b="5715"/>
            <wp:docPr id="11" name="图片 11" descr="十一、支持推进创新创业共同体建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十一、支持推进创新创业共同体建设"/>
                    <pic:cNvPicPr>
                      <a:picLocks noChangeAspect="1" noChangeArrowheads="1"/>
                    </pic:cNvPicPr>
                  </pic:nvPicPr>
                  <pic:blipFill>
                    <a:blip r:embed="rId33"/>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扫码查看政策：支持推进创新创业共同体建设</w:t>
      </w:r>
    </w:p>
    <w:p>
      <w:pPr>
        <w:bidi w:val="0"/>
      </w:pPr>
      <w:r>
        <w:br w:type="page"/>
      </w:r>
    </w:p>
    <w:p>
      <w:pPr>
        <w:pStyle w:val="2"/>
        <w:bidi w:val="0"/>
        <w:rPr>
          <w:rFonts w:ascii="Times New Roman" w:hAnsi="Times New Roman" w:eastAsia="黑体"/>
          <w:color w:val="000000"/>
          <w:sz w:val="32"/>
          <w:szCs w:val="32"/>
        </w:rPr>
      </w:pPr>
      <w:bookmarkStart w:id="142" w:name="_Toc712637902"/>
      <w:bookmarkStart w:id="143" w:name="_Toc171909052"/>
      <w:bookmarkStart w:id="144" w:name="_Toc1584431148"/>
      <w:bookmarkStart w:id="145" w:name="_Toc2073760421"/>
      <w:bookmarkStart w:id="146" w:name="_Toc616499770"/>
      <w:r>
        <w:rPr>
          <w:rStyle w:val="25"/>
        </w:rPr>
        <w:t>加强科技型企业孵化培育</w:t>
      </w:r>
      <w:bookmarkEnd w:id="139"/>
      <w:bookmarkEnd w:id="140"/>
      <w:bookmarkEnd w:id="141"/>
      <w:bookmarkEnd w:id="142"/>
      <w:bookmarkEnd w:id="143"/>
      <w:bookmarkEnd w:id="144"/>
      <w:bookmarkEnd w:id="145"/>
      <w:bookmarkEnd w:id="146"/>
    </w:p>
    <w:p>
      <w:pPr>
        <w:bidi w:val="0"/>
      </w:pPr>
    </w:p>
    <w:p>
      <w:pPr>
        <w:bidi w:val="0"/>
        <w:rPr>
          <w:rFonts w:ascii="Times New Roman" w:hAnsi="Times New Roman" w:eastAsia="黑体"/>
          <w:color w:val="000000"/>
          <w:sz w:val="32"/>
          <w:szCs w:val="32"/>
        </w:rPr>
      </w:pPr>
      <w:r>
        <w:t>支持科技企业孵化器建设，对新认定的国家级、省级科技企业孵化器，按照孵化项目成效，分别给予最高1000万元、500万元的资金支持；对新认定的国家级、省级众创空间，按照支持创业成效，分别给予200万元、100万元的资金支持。对具有国际国内影响力的运营管理团队，按“一事一议”给予重点资金支持。</w:t>
      </w:r>
      <w:bookmarkStart w:id="147" w:name="_Toc1329470096"/>
      <w:bookmarkStart w:id="148" w:name="_Toc411507645"/>
      <w:bookmarkStart w:id="149" w:name="_Toc1282493904"/>
    </w:p>
    <w:p>
      <w:pPr>
        <w:pStyle w:val="26"/>
        <w:bidi w:val="0"/>
      </w:pPr>
      <w:r>
        <w:drawing>
          <wp:inline distT="0" distB="0" distL="0" distR="0">
            <wp:extent cx="1080135" cy="1080135"/>
            <wp:effectExtent l="0" t="0" r="5715" b="5715"/>
            <wp:docPr id="12" name="图片 12" descr="十二、加强科技型企业孵化培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十二、加强科技型企业孵化培育"/>
                    <pic:cNvPicPr>
                      <a:picLocks noChangeAspect="1" noChangeArrowheads="1"/>
                    </pic:cNvPicPr>
                  </pic:nvPicPr>
                  <pic:blipFill>
                    <a:blip r:embed="rId34"/>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扫码查看政策：加强科技型企业孵化培育</w:t>
      </w:r>
    </w:p>
    <w:p>
      <w:pPr>
        <w:bidi w:val="0"/>
      </w:pPr>
      <w:r>
        <w:br w:type="page"/>
      </w:r>
    </w:p>
    <w:p>
      <w:pPr>
        <w:pStyle w:val="2"/>
        <w:bidi w:val="0"/>
        <w:rPr>
          <w:rFonts w:ascii="Times New Roman" w:hAnsi="Times New Roman" w:eastAsia="黑体"/>
          <w:color w:val="000000"/>
          <w:sz w:val="32"/>
          <w:szCs w:val="32"/>
        </w:rPr>
      </w:pPr>
      <w:bookmarkStart w:id="150" w:name="_Toc1869192154"/>
      <w:bookmarkStart w:id="151" w:name="_Toc327754771"/>
      <w:bookmarkStart w:id="152" w:name="_Toc1194578330"/>
      <w:bookmarkStart w:id="153" w:name="_Toc1057187395"/>
      <w:bookmarkStart w:id="154" w:name="_Toc877348463"/>
      <w:r>
        <w:rPr>
          <w:rStyle w:val="25"/>
        </w:rPr>
        <w:t>加强科研成果转移转化</w:t>
      </w:r>
      <w:bookmarkEnd w:id="147"/>
      <w:bookmarkEnd w:id="148"/>
      <w:bookmarkEnd w:id="149"/>
      <w:bookmarkEnd w:id="150"/>
      <w:bookmarkEnd w:id="151"/>
      <w:bookmarkEnd w:id="152"/>
      <w:bookmarkEnd w:id="153"/>
      <w:bookmarkEnd w:id="154"/>
    </w:p>
    <w:p>
      <w:pPr>
        <w:bidi w:val="0"/>
      </w:pPr>
    </w:p>
    <w:p>
      <w:pPr>
        <w:bidi w:val="0"/>
      </w:pPr>
      <w:r>
        <w:t>设立1000万元市级产学研联合基金，支持科技成果来我市转移转化。对获得省绩效奖励的科技创新平台，给予其获得省绩效奖励资金50%的配套奖励。</w:t>
      </w:r>
    </w:p>
    <w:p>
      <w:pPr>
        <w:pStyle w:val="26"/>
        <w:bidi w:val="0"/>
      </w:pPr>
      <w:bookmarkStart w:id="155" w:name="_Toc1493438047"/>
      <w:bookmarkStart w:id="156" w:name="_Toc1088035480"/>
      <w:bookmarkStart w:id="157" w:name="_Toc256935462"/>
      <w:r>
        <w:drawing>
          <wp:inline distT="0" distB="0" distL="0" distR="0">
            <wp:extent cx="1080135" cy="1080135"/>
            <wp:effectExtent l="0" t="0" r="5715" b="5715"/>
            <wp:docPr id="13" name="图片 13" descr="十三、加强科研成果转移转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十三、加强科研成果转移转化"/>
                    <pic:cNvPicPr>
                      <a:picLocks noChangeAspect="1" noChangeArrowheads="1"/>
                    </pic:cNvPicPr>
                  </pic:nvPicPr>
                  <pic:blipFill>
                    <a:blip r:embed="rId35"/>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扫码查看政策：加强科研成果转移转化</w:t>
      </w:r>
    </w:p>
    <w:p>
      <w:pPr>
        <w:bidi w:val="0"/>
      </w:pPr>
      <w:r>
        <w:br w:type="page"/>
      </w:r>
    </w:p>
    <w:p>
      <w:pPr>
        <w:pStyle w:val="2"/>
        <w:bidi w:val="0"/>
        <w:rPr>
          <w:rFonts w:ascii="Times New Roman" w:hAnsi="Times New Roman" w:eastAsia="黑体"/>
          <w:color w:val="000000"/>
          <w:sz w:val="32"/>
          <w:szCs w:val="32"/>
        </w:rPr>
      </w:pPr>
      <w:bookmarkStart w:id="158" w:name="_Toc1247520473"/>
      <w:bookmarkStart w:id="159" w:name="_Toc1972122783"/>
      <w:bookmarkStart w:id="160" w:name="_Toc2008124967"/>
      <w:bookmarkStart w:id="161" w:name="_Toc1425198781"/>
      <w:bookmarkStart w:id="162" w:name="_Toc1635008746"/>
      <w:r>
        <w:rPr>
          <w:rStyle w:val="25"/>
        </w:rPr>
        <w:t>支持项目向园区集聚</w:t>
      </w:r>
      <w:bookmarkEnd w:id="155"/>
      <w:bookmarkEnd w:id="156"/>
      <w:bookmarkEnd w:id="157"/>
      <w:bookmarkEnd w:id="158"/>
      <w:bookmarkEnd w:id="159"/>
      <w:bookmarkEnd w:id="160"/>
      <w:bookmarkEnd w:id="161"/>
      <w:bookmarkEnd w:id="162"/>
    </w:p>
    <w:p>
      <w:pPr>
        <w:bidi w:val="0"/>
      </w:pPr>
    </w:p>
    <w:p>
      <w:pPr>
        <w:bidi w:val="0"/>
        <w:rPr>
          <w:rFonts w:ascii="Times New Roman" w:hAnsi="Times New Roman" w:eastAsia="黑体"/>
          <w:color w:val="000000"/>
          <w:sz w:val="32"/>
          <w:szCs w:val="32"/>
        </w:rPr>
      </w:pPr>
      <w:r>
        <w:t>设立1亿元的市级产业基金，支持股权引导资金优先向园区倾斜，鼓励推动银行金融机构与开发区开展战略合作。国家、省、市重点项目和产业链大项目原则上全部落户开发区。加强国土空间规划与相关产业发展规划的衔接，新增工业用地优先保障省级以上园区，引导产业向园区集聚。研究制定工业用地供应管理办法，有限要素优先保障重点发展方向工业项目，对纳入《山东省优先发展产业和农、林、牧、渔业产业产品初加工工业项目目录》且用地集约的工业项目，在确定土地出让底价时可按不低于工业用地出让最低限价标准的70％及土地成本确定的土地底价出让。</w:t>
      </w:r>
      <w:bookmarkStart w:id="163" w:name="_Toc799220108"/>
      <w:bookmarkStart w:id="164" w:name="_Toc398241526"/>
      <w:bookmarkStart w:id="165" w:name="_Toc901099931"/>
    </w:p>
    <w:p>
      <w:pPr>
        <w:pStyle w:val="26"/>
        <w:bidi w:val="0"/>
      </w:pPr>
      <w:r>
        <w:drawing>
          <wp:inline distT="0" distB="0" distL="0" distR="0">
            <wp:extent cx="1080135" cy="1080135"/>
            <wp:effectExtent l="0" t="0" r="5715" b="5715"/>
            <wp:docPr id="14" name="图片 14" descr="十四、支持项目向园区集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十四、支持项目向园区集聚"/>
                    <pic:cNvPicPr>
                      <a:picLocks noChangeAspect="1" noChangeArrowheads="1"/>
                    </pic:cNvPicPr>
                  </pic:nvPicPr>
                  <pic:blipFill>
                    <a:blip r:embed="rId36"/>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扫码查看政策：支持项目向园区集聚</w:t>
      </w:r>
    </w:p>
    <w:p>
      <w:pPr>
        <w:bidi w:val="0"/>
      </w:pPr>
      <w:r>
        <w:br w:type="page"/>
      </w:r>
    </w:p>
    <w:p>
      <w:pPr>
        <w:pStyle w:val="2"/>
        <w:bidi w:val="0"/>
        <w:rPr>
          <w:rFonts w:ascii="Times New Roman" w:hAnsi="Times New Roman" w:eastAsia="黑体"/>
          <w:color w:val="000000"/>
          <w:sz w:val="32"/>
          <w:szCs w:val="32"/>
        </w:rPr>
      </w:pPr>
      <w:bookmarkStart w:id="166" w:name="_Toc492420101"/>
      <w:bookmarkStart w:id="167" w:name="_Toc140655648"/>
      <w:bookmarkStart w:id="168" w:name="_Toc2014556458"/>
      <w:bookmarkStart w:id="169" w:name="_Toc24098927"/>
      <w:bookmarkStart w:id="170" w:name="_Toc1232542385"/>
      <w:r>
        <w:rPr>
          <w:rStyle w:val="25"/>
        </w:rPr>
        <w:t>完善产业用地供给方式</w:t>
      </w:r>
      <w:bookmarkEnd w:id="163"/>
      <w:bookmarkEnd w:id="164"/>
      <w:bookmarkEnd w:id="165"/>
      <w:bookmarkEnd w:id="166"/>
      <w:bookmarkEnd w:id="167"/>
      <w:bookmarkEnd w:id="168"/>
      <w:bookmarkEnd w:id="169"/>
      <w:bookmarkEnd w:id="170"/>
    </w:p>
    <w:p>
      <w:pPr>
        <w:bidi w:val="0"/>
      </w:pPr>
    </w:p>
    <w:p>
      <w:pPr>
        <w:bidi w:val="0"/>
      </w:pPr>
      <w:r>
        <w:t>探索完善带项目出让、长期租赁、先租后让、弹性年期供应、作价出资（入股）等工业用地市场供应模式，支持以“作价出资”方式处置改制企业土地。建立城乡统一的建设用地市场，积极稳妥推进农村集体经营性建设用地入市。保障乡村产业发展用地，市县级年度土地利用计划至少安排5%新增建设用地指标保障乡村重点产业和项目用地，新编县乡级国土空间规划应预留不少于 10%的建设用地指标。</w:t>
      </w:r>
    </w:p>
    <w:p>
      <w:pPr>
        <w:pStyle w:val="26"/>
        <w:bidi w:val="0"/>
      </w:pPr>
      <w:bookmarkStart w:id="171" w:name="_Toc1000938016"/>
      <w:bookmarkStart w:id="172" w:name="_Toc1943618988"/>
      <w:bookmarkStart w:id="173" w:name="_Toc2024953793"/>
      <w:r>
        <w:drawing>
          <wp:inline distT="0" distB="0" distL="0" distR="0">
            <wp:extent cx="1080135" cy="1080135"/>
            <wp:effectExtent l="0" t="0" r="5715" b="5715"/>
            <wp:docPr id="15" name="图片 15" descr="十五、完善产业用地供给方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十五、完善产业用地供给方式"/>
                    <pic:cNvPicPr>
                      <a:picLocks noChangeAspect="1" noChangeArrowheads="1"/>
                    </pic:cNvPicPr>
                  </pic:nvPicPr>
                  <pic:blipFill>
                    <a:blip r:embed="rId37"/>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扫码查看政策：完善产业用地供给方式</w:t>
      </w:r>
    </w:p>
    <w:p>
      <w:pPr>
        <w:bidi w:val="0"/>
      </w:pPr>
      <w:r>
        <w:br w:type="page"/>
      </w:r>
    </w:p>
    <w:p>
      <w:pPr>
        <w:pStyle w:val="2"/>
        <w:bidi w:val="0"/>
        <w:rPr>
          <w:rFonts w:ascii="Times New Roman" w:hAnsi="Times New Roman" w:eastAsia="黑体"/>
          <w:color w:val="000000"/>
          <w:sz w:val="32"/>
          <w:szCs w:val="32"/>
        </w:rPr>
      </w:pPr>
      <w:bookmarkStart w:id="174" w:name="_Toc799416310"/>
      <w:bookmarkStart w:id="175" w:name="_Toc936490200"/>
      <w:bookmarkStart w:id="176" w:name="_Toc1549548896"/>
      <w:bookmarkStart w:id="177" w:name="_Toc1189354785"/>
      <w:bookmarkStart w:id="178" w:name="_Toc2098897707"/>
      <w:r>
        <w:rPr>
          <w:rStyle w:val="25"/>
        </w:rPr>
        <w:t>提升节约集约用地水平</w:t>
      </w:r>
      <w:bookmarkEnd w:id="171"/>
      <w:bookmarkEnd w:id="172"/>
      <w:bookmarkEnd w:id="173"/>
      <w:bookmarkEnd w:id="174"/>
      <w:bookmarkEnd w:id="175"/>
      <w:bookmarkEnd w:id="176"/>
      <w:bookmarkEnd w:id="177"/>
      <w:bookmarkEnd w:id="178"/>
    </w:p>
    <w:p>
      <w:pPr>
        <w:bidi w:val="0"/>
      </w:pPr>
    </w:p>
    <w:p>
      <w:pPr>
        <w:bidi w:val="0"/>
      </w:pPr>
      <w:r>
        <w:t>鼓励企业使用存量土地资源，建设多层厂房，扩大生产规模。深化“标准地”制度改革，提升省级以上开发区新增工业用地按照“标准地”方式出让的比重，完善履约监管协议，推进建设项目“拿地即开工”。</w:t>
      </w:r>
    </w:p>
    <w:p>
      <w:pPr>
        <w:pStyle w:val="26"/>
        <w:bidi w:val="0"/>
      </w:pPr>
      <w:bookmarkStart w:id="179" w:name="_Toc1039527952"/>
      <w:bookmarkStart w:id="180" w:name="_Toc1779056770"/>
      <w:bookmarkStart w:id="181" w:name="_Toc1431482182"/>
      <w:r>
        <w:drawing>
          <wp:inline distT="0" distB="0" distL="0" distR="0">
            <wp:extent cx="1080135" cy="1080135"/>
            <wp:effectExtent l="0" t="0" r="5715" b="5715"/>
            <wp:docPr id="16" name="图片 16" descr="十六、提升节约集约用地水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十六、提升节约集约用地水平"/>
                    <pic:cNvPicPr>
                      <a:picLocks noChangeAspect="1" noChangeArrowheads="1"/>
                    </pic:cNvPicPr>
                  </pic:nvPicPr>
                  <pic:blipFill>
                    <a:blip r:embed="rId38"/>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扫码查看政策：提升节约集约用地水平</w:t>
      </w:r>
    </w:p>
    <w:p>
      <w:pPr>
        <w:bidi w:val="0"/>
      </w:pPr>
      <w:r>
        <w:br w:type="page"/>
      </w:r>
    </w:p>
    <w:p>
      <w:pPr>
        <w:pStyle w:val="2"/>
        <w:bidi w:val="0"/>
        <w:rPr>
          <w:rFonts w:ascii="Times New Roman" w:hAnsi="Times New Roman" w:eastAsia="黑体"/>
          <w:color w:val="000000"/>
          <w:sz w:val="32"/>
          <w:szCs w:val="32"/>
        </w:rPr>
      </w:pPr>
      <w:bookmarkStart w:id="182" w:name="_Toc646854229"/>
      <w:bookmarkStart w:id="183" w:name="_Toc1092159309"/>
      <w:bookmarkStart w:id="184" w:name="_Toc1830307056"/>
      <w:bookmarkStart w:id="185" w:name="_Toc106662973"/>
      <w:bookmarkStart w:id="186" w:name="_Toc544275345"/>
      <w:r>
        <w:rPr>
          <w:rStyle w:val="25"/>
        </w:rPr>
        <w:t>提高土地出让收入用于农业农村比例</w:t>
      </w:r>
      <w:bookmarkEnd w:id="179"/>
      <w:bookmarkEnd w:id="180"/>
      <w:bookmarkEnd w:id="181"/>
      <w:bookmarkEnd w:id="182"/>
      <w:bookmarkEnd w:id="183"/>
      <w:bookmarkEnd w:id="184"/>
      <w:bookmarkEnd w:id="185"/>
      <w:bookmarkEnd w:id="186"/>
    </w:p>
    <w:p>
      <w:pPr>
        <w:bidi w:val="0"/>
      </w:pPr>
    </w:p>
    <w:p>
      <w:pPr>
        <w:bidi w:val="0"/>
      </w:pPr>
      <w:r>
        <w:t xml:space="preserve">2021年土地出让净收入用于农业农村的比例达到6%以上，以后每年提高1个百分点，2025年达到10%以上。 </w:t>
      </w:r>
    </w:p>
    <w:p>
      <w:pPr>
        <w:pStyle w:val="26"/>
        <w:bidi w:val="0"/>
      </w:pPr>
      <w:bookmarkStart w:id="187" w:name="_Toc1379987987"/>
      <w:bookmarkStart w:id="188" w:name="_Toc954937606"/>
      <w:bookmarkStart w:id="189" w:name="_Toc873466126"/>
      <w:r>
        <w:drawing>
          <wp:inline distT="0" distB="0" distL="0" distR="0">
            <wp:extent cx="1080135" cy="1080135"/>
            <wp:effectExtent l="0" t="0" r="5715" b="5715"/>
            <wp:docPr id="17" name="图片 17" descr="十七、提高土地出让收入用于农业农村比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十七、提高土地出让收入用于农业农村比例"/>
                    <pic:cNvPicPr>
                      <a:picLocks noChangeAspect="1" noChangeArrowheads="1"/>
                    </pic:cNvPicPr>
                  </pic:nvPicPr>
                  <pic:blipFill>
                    <a:blip r:embed="rId39"/>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扫码查看政策：提高土地出让收入用于农业农村比例</w:t>
      </w:r>
    </w:p>
    <w:p>
      <w:pPr>
        <w:bidi w:val="0"/>
      </w:pPr>
      <w:r>
        <w:br w:type="page"/>
      </w:r>
    </w:p>
    <w:p>
      <w:pPr>
        <w:pStyle w:val="2"/>
        <w:bidi w:val="0"/>
        <w:rPr>
          <w:rFonts w:ascii="Times New Roman" w:hAnsi="Times New Roman" w:eastAsia="黑体"/>
          <w:color w:val="000000"/>
          <w:sz w:val="32"/>
          <w:szCs w:val="32"/>
        </w:rPr>
      </w:pPr>
      <w:bookmarkStart w:id="190" w:name="_Toc198841016"/>
      <w:bookmarkStart w:id="191" w:name="_Toc195663858"/>
      <w:bookmarkStart w:id="192" w:name="_Toc719262528"/>
      <w:bookmarkStart w:id="193" w:name="_Toc5371368"/>
      <w:bookmarkStart w:id="194" w:name="_Toc1182777419"/>
      <w:r>
        <w:rPr>
          <w:rStyle w:val="25"/>
        </w:rPr>
        <w:t>集聚产业领军人才</w:t>
      </w:r>
      <w:bookmarkEnd w:id="187"/>
      <w:bookmarkEnd w:id="188"/>
      <w:bookmarkEnd w:id="189"/>
      <w:bookmarkEnd w:id="190"/>
      <w:bookmarkEnd w:id="191"/>
      <w:bookmarkEnd w:id="192"/>
      <w:bookmarkEnd w:id="193"/>
      <w:bookmarkEnd w:id="194"/>
    </w:p>
    <w:p>
      <w:pPr>
        <w:bidi w:val="0"/>
      </w:pPr>
    </w:p>
    <w:p>
      <w:pPr>
        <w:bidi w:val="0"/>
        <w:rPr>
          <w:rFonts w:ascii="Times New Roman" w:hAnsi="Times New Roman" w:eastAsia="黑体"/>
          <w:color w:val="000000"/>
          <w:sz w:val="32"/>
          <w:szCs w:val="32"/>
        </w:rPr>
      </w:pPr>
      <w:r>
        <w:t>每年引进20名左右具有国内外领先水平、掌握核心技术、支撑产业发展的高层次创新人才，给予50万—200万元的项目扶持资金。举办“创业枣庄共赢未来”高层次人才创业大赛，每年引进高层次创业人才及团队20个左右，给予5万—50万元奖励，落地符合条件的，纳入“枣庄英才”政策支持，给予50万—300万元的项目扶持资金。深化“柔性引才”模式，每年引进柔性合作专家不少于100人。加大青年人才引进力度，40岁以下高层次青年人才占总引进人数比例不低于40%。对企业全职引进、年薪50万元以上的专业技术人才，给予个人所得税等额奖励。做好“鲁班工匠”技能人才评选工作，每年评选市首席技师40名左右。</w:t>
      </w:r>
    </w:p>
    <w:p>
      <w:pPr>
        <w:pStyle w:val="26"/>
        <w:bidi w:val="0"/>
      </w:pPr>
      <w:r>
        <w:drawing>
          <wp:inline distT="0" distB="0" distL="0" distR="0">
            <wp:extent cx="1080135" cy="1080135"/>
            <wp:effectExtent l="0" t="0" r="5715" b="5715"/>
            <wp:docPr id="18" name="图片 18" descr="十八、集聚产业领军人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十八、集聚产业领军人才"/>
                    <pic:cNvPicPr>
                      <a:picLocks noChangeAspect="1" noChangeArrowheads="1"/>
                    </pic:cNvPicPr>
                  </pic:nvPicPr>
                  <pic:blipFill>
                    <a:blip r:embed="rId40"/>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扫码查看政策：集聚产业领军人才</w:t>
      </w:r>
    </w:p>
    <w:p>
      <w:pPr>
        <w:bidi w:val="0"/>
      </w:pPr>
      <w:r>
        <w:br w:type="page"/>
      </w:r>
    </w:p>
    <w:p>
      <w:pPr>
        <w:pStyle w:val="2"/>
        <w:bidi w:val="0"/>
        <w:rPr>
          <w:rFonts w:ascii="Times New Roman" w:hAnsi="Times New Roman" w:eastAsia="黑体"/>
          <w:color w:val="000000"/>
          <w:sz w:val="32"/>
          <w:szCs w:val="32"/>
        </w:rPr>
      </w:pPr>
      <w:bookmarkStart w:id="195" w:name="_Toc1709320955"/>
      <w:bookmarkStart w:id="196" w:name="_Toc1416601473"/>
      <w:bookmarkStart w:id="197" w:name="_Toc255242724"/>
      <w:bookmarkStart w:id="198" w:name="_Toc1188906084"/>
      <w:bookmarkStart w:id="199" w:name="_Toc1650212038"/>
      <w:r>
        <w:rPr>
          <w:rStyle w:val="25"/>
        </w:rPr>
        <w:t>创新开发区财税分成机制</w:t>
      </w:r>
      <w:bookmarkEnd w:id="195"/>
      <w:bookmarkEnd w:id="196"/>
      <w:bookmarkEnd w:id="197"/>
      <w:bookmarkEnd w:id="198"/>
      <w:bookmarkEnd w:id="199"/>
    </w:p>
    <w:p>
      <w:pPr>
        <w:bidi w:val="0"/>
      </w:pPr>
    </w:p>
    <w:p>
      <w:pPr>
        <w:bidi w:val="0"/>
      </w:pPr>
      <w:r>
        <w:t>对各省级经济开发区实行单独的经济核算体制，坚持核定基数、增量分成、超收激励的原则，以上一财年为基期核定开发区的收入和保障基数，财力保障基数全额拨付给开发区，当地税收的增量部分按一定比例予以返还。</w:t>
      </w:r>
    </w:p>
    <w:p>
      <w:pPr>
        <w:pStyle w:val="26"/>
        <w:bidi w:val="0"/>
      </w:pPr>
      <w:r>
        <w:drawing>
          <wp:inline distT="0" distB="0" distL="0" distR="0">
            <wp:extent cx="1080135" cy="1080135"/>
            <wp:effectExtent l="0" t="0" r="5715" b="5715"/>
            <wp:docPr id="19" name="图片 19" descr="十九、创新开发区财税分成机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十九、创新开发区财税分成机制"/>
                    <pic:cNvPicPr>
                      <a:picLocks noChangeAspect="1" noChangeArrowheads="1"/>
                    </pic:cNvPicPr>
                  </pic:nvPicPr>
                  <pic:blipFill>
                    <a:blip r:embed="rId41"/>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扫码查看政策：创新开发区财税分成机制</w:t>
      </w:r>
    </w:p>
    <w:p>
      <w:pPr>
        <w:bidi w:val="0"/>
      </w:pPr>
      <w:r>
        <w:br w:type="page"/>
      </w:r>
    </w:p>
    <w:p>
      <w:pPr>
        <w:pStyle w:val="2"/>
        <w:bidi w:val="0"/>
        <w:rPr>
          <w:rFonts w:ascii="Times New Roman" w:hAnsi="Times New Roman" w:eastAsia="黑体"/>
          <w:color w:val="000000"/>
          <w:sz w:val="32"/>
          <w:szCs w:val="32"/>
        </w:rPr>
      </w:pPr>
      <w:bookmarkStart w:id="200" w:name="_Toc159844232"/>
      <w:bookmarkStart w:id="201" w:name="_Toc239685357"/>
      <w:bookmarkStart w:id="202" w:name="_Toc1827083138"/>
      <w:bookmarkStart w:id="203" w:name="_Toc1380387511"/>
      <w:bookmarkStart w:id="204" w:name="_Toc1364500067"/>
      <w:r>
        <w:rPr>
          <w:rStyle w:val="25"/>
        </w:rPr>
        <w:t>实行重大招商引资项目“一事一议”</w:t>
      </w:r>
      <w:bookmarkEnd w:id="200"/>
      <w:bookmarkEnd w:id="201"/>
      <w:bookmarkEnd w:id="202"/>
      <w:bookmarkEnd w:id="203"/>
      <w:bookmarkEnd w:id="204"/>
    </w:p>
    <w:p>
      <w:pPr>
        <w:bidi w:val="0"/>
      </w:pPr>
    </w:p>
    <w:p>
      <w:pPr>
        <w:bidi w:val="0"/>
      </w:pPr>
      <w:r>
        <w:t>实行重大招商引资项目“一事一议”。投资总额达到10亿元以上的项目，享受我市重大招商项目“一事一议”政策。符合我市发展的新兴战略产业、世界500强企业、中国500强企业、各类产业领军企业、境内外上市企业在枣庄设立独立法人机构的可适当放宽标准。对与世界500强企业、大型央企民企合作的引领型重大项目，市财政予以重点支持。</w:t>
      </w:r>
    </w:p>
    <w:p>
      <w:pPr>
        <w:pStyle w:val="26"/>
        <w:bidi w:val="0"/>
      </w:pPr>
      <w:bookmarkStart w:id="205" w:name="_Toc4901"/>
      <w:bookmarkStart w:id="206" w:name="_Toc38225013"/>
      <w:bookmarkStart w:id="207" w:name="_Toc1088524153"/>
      <w:bookmarkStart w:id="208" w:name="_Toc1112151106"/>
      <w:r>
        <w:drawing>
          <wp:inline distT="0" distB="0" distL="0" distR="0">
            <wp:extent cx="1080135" cy="1080135"/>
            <wp:effectExtent l="0" t="0" r="5715" b="5715"/>
            <wp:docPr id="20" name="图片 20" descr="二十、实行重大招商引资项目“一事一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二十、实行重大招商引资项目“一事一议”"/>
                    <pic:cNvPicPr>
                      <a:picLocks noChangeAspect="1" noChangeArrowheads="1"/>
                    </pic:cNvPicPr>
                  </pic:nvPicPr>
                  <pic:blipFill>
                    <a:blip r:embed="rId42"/>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扫码查看政策：实行重大招商引资项目“一事一议”</w:t>
      </w:r>
    </w:p>
    <w:p>
      <w:pPr>
        <w:bidi w:val="0"/>
      </w:pPr>
      <w:r>
        <w:br w:type="page"/>
      </w:r>
    </w:p>
    <w:bookmarkEnd w:id="205"/>
    <w:bookmarkEnd w:id="206"/>
    <w:bookmarkEnd w:id="207"/>
    <w:bookmarkEnd w:id="208"/>
    <w:p>
      <w:pPr>
        <w:pStyle w:val="2"/>
        <w:bidi w:val="0"/>
      </w:pPr>
      <w:bookmarkStart w:id="209" w:name="_Toc4041476"/>
      <w:bookmarkStart w:id="210" w:name="_Toc363679801_WPSOffice_Level1"/>
      <w:bookmarkStart w:id="211" w:name="_Toc399562633_WPSOffice_Level1"/>
      <w:bookmarkStart w:id="212" w:name="_Toc887401043"/>
      <w:bookmarkStart w:id="213" w:name="_Toc1505377827"/>
      <w:bookmarkStart w:id="214" w:name="_Toc848259227"/>
      <w:bookmarkStart w:id="215" w:name="_Toc3348"/>
      <w:bookmarkStart w:id="216" w:name="_Toc2081193134"/>
      <w:bookmarkStart w:id="217" w:name="_Toc1144740674"/>
      <w:bookmarkStart w:id="218" w:name="_Toc1962888025"/>
      <w:bookmarkStart w:id="219" w:name="_Toc477758171"/>
      <w:bookmarkStart w:id="220" w:name="_Toc3313"/>
      <w:r>
        <w:t>企业开办</w:t>
      </w:r>
      <w:bookmarkEnd w:id="209"/>
      <w:bookmarkEnd w:id="210"/>
      <w:bookmarkEnd w:id="211"/>
      <w:bookmarkEnd w:id="212"/>
      <w:bookmarkEnd w:id="213"/>
      <w:bookmarkEnd w:id="214"/>
      <w:bookmarkEnd w:id="215"/>
      <w:bookmarkEnd w:id="216"/>
      <w:bookmarkEnd w:id="217"/>
      <w:bookmarkEnd w:id="218"/>
      <w:bookmarkEnd w:id="219"/>
      <w:bookmarkEnd w:id="220"/>
    </w:p>
    <w:p>
      <w:pPr>
        <w:bidi w:val="0"/>
      </w:pPr>
    </w:p>
    <w:p>
      <w:pPr>
        <w:bidi w:val="0"/>
      </w:pPr>
      <w:r>
        <w:t>简化市场准入环节，企业开办全流程合并为营业执照申领、社保登记、医保登记、住房公积金登记和印章刻制、涉税办理2个环节，全程网办、一日办结，免费为企业提供营业执照、印章、发票（不含增值税专用发票）及税控设备。在更大行业范围实施“一业一证”改革，实现“一证准营”。打破地域限制，企业登记注册做到当地受理、异地发证，省内通办、跨省联办。全面实施“证照分离”、涉企经营许可事项分类改革，完善审管衔接机制，破解“准入不准营”难题。</w:t>
      </w:r>
    </w:p>
    <w:p>
      <w:pPr>
        <w:pStyle w:val="26"/>
        <w:bidi w:val="0"/>
      </w:pPr>
      <w:bookmarkStart w:id="221" w:name="_Toc314119757"/>
      <w:bookmarkStart w:id="222" w:name="_Toc678294988_WPSOffice_Level1"/>
      <w:bookmarkStart w:id="223" w:name="_Toc1628908557_WPSOffice_Level1"/>
      <w:bookmarkStart w:id="224" w:name="_Toc15953"/>
      <w:bookmarkStart w:id="225" w:name="_Toc1261862944"/>
      <w:bookmarkStart w:id="226" w:name="_Toc445313508"/>
      <w:bookmarkStart w:id="227" w:name="_Toc22441"/>
      <w:r>
        <w:drawing>
          <wp:inline distT="0" distB="0" distL="0" distR="0">
            <wp:extent cx="1080135" cy="1080135"/>
            <wp:effectExtent l="0" t="0" r="5715" b="5715"/>
            <wp:docPr id="21" name="图片 21" descr="一、企业开办"/>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一、企业开办"/>
                    <pic:cNvPicPr>
                      <a:picLocks noChangeAspect="1" noChangeArrowheads="1"/>
                    </pic:cNvPicPr>
                  </pic:nvPicPr>
                  <pic:blipFill>
                    <a:blip r:embed="rId43"/>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扫码查看政策：企业开办</w:t>
      </w:r>
    </w:p>
    <w:p>
      <w:pPr>
        <w:pStyle w:val="2"/>
        <w:bidi w:val="0"/>
        <w:rPr>
          <w:rFonts w:ascii="Times New Roman" w:hAnsi="Times New Roman" w:eastAsia="黑体"/>
          <w:color w:val="000000"/>
          <w:sz w:val="32"/>
          <w:szCs w:val="32"/>
        </w:rPr>
      </w:pPr>
      <w:r>
        <w:rPr>
          <w:rFonts w:ascii="Times New Roman" w:hAnsi="Times New Roman" w:eastAsia="黑体"/>
          <w:color w:val="000000"/>
          <w:sz w:val="32"/>
          <w:szCs w:val="32"/>
        </w:rPr>
        <w:br w:type="page"/>
      </w:r>
      <w:bookmarkStart w:id="228" w:name="_Toc2008919055"/>
      <w:bookmarkStart w:id="229" w:name="_Toc458103908"/>
      <w:bookmarkStart w:id="230" w:name="_Toc446830226"/>
      <w:bookmarkStart w:id="231" w:name="_Toc611340585"/>
      <w:bookmarkStart w:id="232" w:name="_Toc385522489"/>
      <w:r>
        <w:rPr>
          <w:rStyle w:val="25"/>
        </w:rPr>
        <w:t>工程建设项目审批</w:t>
      </w:r>
      <w:bookmarkEnd w:id="221"/>
      <w:bookmarkEnd w:id="222"/>
      <w:bookmarkEnd w:id="223"/>
      <w:bookmarkEnd w:id="224"/>
      <w:bookmarkEnd w:id="225"/>
      <w:bookmarkEnd w:id="226"/>
      <w:bookmarkEnd w:id="227"/>
      <w:bookmarkEnd w:id="228"/>
      <w:bookmarkEnd w:id="229"/>
      <w:bookmarkEnd w:id="230"/>
      <w:bookmarkEnd w:id="231"/>
      <w:bookmarkEnd w:id="232"/>
    </w:p>
    <w:p>
      <w:pPr>
        <w:bidi w:val="0"/>
      </w:pPr>
    </w:p>
    <w:p>
      <w:pPr>
        <w:bidi w:val="0"/>
      </w:pPr>
      <w:r>
        <w:t>全面实施并联审批，持续提升数字化图纸审查和规划设计方案联审服务效率。制定优化政府投资房屋建筑类、政府投资市政公用线性工程类、社会投资一般工业项目和线性工程类、社会投资房屋建筑类、社会投资拿地即开工（带方案）类、社会投资小型工业和简易低风险类等建设项目审批流程实施细则和流程图，将主流程审批时限再压减10%以上。</w:t>
      </w:r>
    </w:p>
    <w:p>
      <w:pPr>
        <w:pStyle w:val="26"/>
        <w:bidi w:val="0"/>
      </w:pPr>
      <w:r>
        <w:drawing>
          <wp:inline distT="0" distB="0" distL="0" distR="0">
            <wp:extent cx="1080135" cy="1080135"/>
            <wp:effectExtent l="0" t="0" r="5715" b="5715"/>
            <wp:docPr id="23" name="图片 23" descr="二、工程建设项目审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二、工程建设项目审批"/>
                    <pic:cNvPicPr>
                      <a:picLocks noChangeAspect="1" noChangeArrowheads="1"/>
                    </pic:cNvPicPr>
                  </pic:nvPicPr>
                  <pic:blipFill>
                    <a:blip r:embed="rId44"/>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扫码查看政策：工程建设项目审批</w:t>
      </w:r>
    </w:p>
    <w:p>
      <w:pPr>
        <w:bidi w:val="0"/>
      </w:pPr>
      <w:r>
        <w:br w:type="page"/>
      </w:r>
    </w:p>
    <w:p>
      <w:pPr>
        <w:pStyle w:val="2"/>
        <w:bidi w:val="0"/>
        <w:rPr>
          <w:rFonts w:ascii="Times New Roman" w:hAnsi="Times New Roman" w:eastAsia="黑体"/>
          <w:color w:val="000000"/>
          <w:sz w:val="32"/>
          <w:szCs w:val="32"/>
        </w:rPr>
      </w:pPr>
      <w:bookmarkStart w:id="233" w:name="_Toc280835361"/>
      <w:bookmarkStart w:id="234" w:name="_Toc2123844180"/>
      <w:bookmarkStart w:id="235" w:name="_Toc159170541"/>
      <w:bookmarkStart w:id="236" w:name="_Toc1715067799"/>
      <w:bookmarkStart w:id="237" w:name="_Toc1955716173"/>
      <w:r>
        <w:rPr>
          <w:rStyle w:val="25"/>
        </w:rPr>
        <w:t>水电气热接入</w:t>
      </w:r>
      <w:bookmarkEnd w:id="233"/>
      <w:bookmarkEnd w:id="234"/>
      <w:bookmarkEnd w:id="235"/>
      <w:bookmarkEnd w:id="236"/>
      <w:bookmarkEnd w:id="237"/>
    </w:p>
    <w:p>
      <w:pPr>
        <w:bidi w:val="0"/>
      </w:pPr>
    </w:p>
    <w:p>
      <w:pPr>
        <w:bidi w:val="0"/>
      </w:pPr>
      <w:r>
        <w:t>实施用电申请“一窗受理”和信息共享，推行电力接入外线工程行政审批手续并联办理和限时办结。优化用水用气报装服务，推行“网上办”“掌上办”，做到一窗受理、联合踏勘、并联审批、统一出件，符合条件的可实行告知承诺制；用水接通不超过7个工作日，燃气接通不超过10个工作日。加强工业蒸汽管网和供热管网建设，保障工业企业生产蒸汽热源供应。</w:t>
      </w:r>
    </w:p>
    <w:p>
      <w:pPr>
        <w:pStyle w:val="26"/>
        <w:bidi w:val="0"/>
      </w:pPr>
      <w:r>
        <w:drawing>
          <wp:inline distT="0" distB="0" distL="0" distR="0">
            <wp:extent cx="1080135" cy="1080135"/>
            <wp:effectExtent l="0" t="0" r="5715" b="5715"/>
            <wp:docPr id="24" name="图片 24" descr="三、水电气热接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三、水电气热接入"/>
                    <pic:cNvPicPr>
                      <a:picLocks noChangeAspect="1" noChangeArrowheads="1"/>
                    </pic:cNvPicPr>
                  </pic:nvPicPr>
                  <pic:blipFill>
                    <a:blip r:embed="rId45"/>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扫码查看政策：水电气热接入</w:t>
      </w:r>
    </w:p>
    <w:p>
      <w:pPr>
        <w:bidi w:val="0"/>
      </w:pPr>
      <w:r>
        <w:br w:type="page"/>
      </w:r>
    </w:p>
    <w:p>
      <w:pPr>
        <w:pStyle w:val="2"/>
        <w:bidi w:val="0"/>
        <w:rPr>
          <w:rFonts w:ascii="Times New Roman" w:hAnsi="Times New Roman" w:eastAsia="黑体"/>
          <w:color w:val="000000"/>
          <w:sz w:val="32"/>
          <w:szCs w:val="32"/>
        </w:rPr>
      </w:pPr>
      <w:bookmarkStart w:id="238" w:name="_Toc1784406138"/>
      <w:bookmarkStart w:id="239" w:name="_Toc1937542464"/>
      <w:bookmarkStart w:id="240" w:name="_Toc719693751"/>
      <w:bookmarkStart w:id="241" w:name="_Toc1487400846"/>
      <w:bookmarkStart w:id="242" w:name="_Toc106181479"/>
      <w:r>
        <w:rPr>
          <w:rStyle w:val="25"/>
        </w:rPr>
        <w:t>不动产权登记</w:t>
      </w:r>
      <w:bookmarkEnd w:id="238"/>
      <w:bookmarkEnd w:id="239"/>
      <w:bookmarkEnd w:id="240"/>
      <w:bookmarkEnd w:id="241"/>
      <w:bookmarkEnd w:id="242"/>
    </w:p>
    <w:p>
      <w:pPr>
        <w:bidi w:val="0"/>
      </w:pPr>
    </w:p>
    <w:p>
      <w:pPr>
        <w:bidi w:val="0"/>
      </w:pPr>
      <w:r>
        <w:t>以“互联网+不动产登记”为依托，通过部门间信息共享进行人脸识别和电子签名，探索不动产登记不见面审批，实现“零跑腿”。深化“全市通办”“全省通办”，拓展枣庄、徐州、商丘、淮北四省四市“跨省通办”，不断提升不动产登记便利度。梳理楼宇闲置资源，建立楼宇项目储备库，为总部经济、众创空间、电商平台等项目提供服务。</w:t>
      </w:r>
    </w:p>
    <w:p>
      <w:pPr>
        <w:pStyle w:val="26"/>
        <w:bidi w:val="0"/>
      </w:pPr>
      <w:bookmarkStart w:id="243" w:name="_Toc1473719236_WPSOffice_Level1"/>
      <w:bookmarkStart w:id="244" w:name="_Toc827018784"/>
      <w:bookmarkStart w:id="245" w:name="_Toc661678467"/>
      <w:bookmarkStart w:id="246" w:name="_Toc926309139_WPSOffice_Level1"/>
      <w:bookmarkStart w:id="247" w:name="_Toc11665"/>
      <w:bookmarkStart w:id="248" w:name="_Toc19827"/>
      <w:bookmarkStart w:id="249" w:name="_Toc558876648"/>
      <w:r>
        <w:drawing>
          <wp:inline distT="0" distB="0" distL="0" distR="0">
            <wp:extent cx="1080135" cy="1080135"/>
            <wp:effectExtent l="0" t="0" r="5715" b="5715"/>
            <wp:docPr id="25" name="图片 25" descr="四、不动产权登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四、不动产权登记"/>
                    <pic:cNvPicPr>
                      <a:picLocks noChangeAspect="1" noChangeArrowheads="1"/>
                    </pic:cNvPicPr>
                  </pic:nvPicPr>
                  <pic:blipFill>
                    <a:blip r:embed="rId46"/>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扫码查看政策：不动产权登记</w:t>
      </w:r>
    </w:p>
    <w:p>
      <w:pPr>
        <w:bidi w:val="0"/>
      </w:pPr>
      <w:r>
        <w:br w:type="page"/>
      </w:r>
    </w:p>
    <w:p>
      <w:pPr>
        <w:pStyle w:val="2"/>
        <w:bidi w:val="0"/>
        <w:rPr>
          <w:rFonts w:ascii="Times New Roman" w:hAnsi="Times New Roman" w:eastAsia="黑体"/>
          <w:color w:val="000000"/>
          <w:sz w:val="32"/>
          <w:szCs w:val="32"/>
        </w:rPr>
      </w:pPr>
      <w:bookmarkStart w:id="250" w:name="_Toc1892844153"/>
      <w:bookmarkStart w:id="251" w:name="_Toc901432813"/>
      <w:bookmarkStart w:id="252" w:name="_Toc2005391151"/>
      <w:bookmarkStart w:id="253" w:name="_Toc739317481"/>
      <w:bookmarkStart w:id="254" w:name="_Toc1936033667"/>
      <w:r>
        <w:rPr>
          <w:rStyle w:val="25"/>
        </w:rPr>
        <w:t>数字政务建设</w:t>
      </w:r>
      <w:bookmarkEnd w:id="243"/>
      <w:bookmarkEnd w:id="244"/>
      <w:bookmarkEnd w:id="245"/>
      <w:bookmarkEnd w:id="246"/>
      <w:bookmarkEnd w:id="247"/>
      <w:bookmarkEnd w:id="248"/>
      <w:bookmarkEnd w:id="249"/>
      <w:bookmarkEnd w:id="250"/>
      <w:bookmarkEnd w:id="251"/>
      <w:bookmarkEnd w:id="252"/>
      <w:bookmarkEnd w:id="253"/>
      <w:bookmarkEnd w:id="254"/>
    </w:p>
    <w:p>
      <w:pPr>
        <w:bidi w:val="0"/>
      </w:pPr>
    </w:p>
    <w:p>
      <w:pPr>
        <w:bidi w:val="0"/>
      </w:pPr>
      <w:r>
        <w:t>加快数字政务建设，实现各部门、各层级、各业务系统数据信息互联互通；进一步拓展电子证照和电子印章应用场景，凡能出示合法有效电子证照的，不再要求其另行提供。推动“互联网+政务服务”向基层延伸，完善市、区（市）、镇（街）、村（居）四级政务服务体系建设，实现线上政务服务平台和线下实体服务大厅融合发展。</w:t>
      </w:r>
    </w:p>
    <w:p>
      <w:pPr>
        <w:pStyle w:val="26"/>
        <w:bidi w:val="0"/>
      </w:pPr>
      <w:bookmarkStart w:id="255" w:name="_Toc550428135_WPSOffice_Level1"/>
      <w:bookmarkStart w:id="256" w:name="_Toc32480"/>
      <w:bookmarkStart w:id="257" w:name="_Toc1617443908"/>
      <w:bookmarkStart w:id="258" w:name="_Toc7266"/>
      <w:bookmarkStart w:id="259" w:name="_Toc1620266396_WPSOffice_Level1"/>
      <w:bookmarkStart w:id="260" w:name="_Toc856929882"/>
      <w:bookmarkStart w:id="261" w:name="_Toc1855880848"/>
      <w:r>
        <w:drawing>
          <wp:inline distT="0" distB="0" distL="0" distR="0">
            <wp:extent cx="1080135" cy="1080135"/>
            <wp:effectExtent l="0" t="0" r="5715" b="5715"/>
            <wp:docPr id="27" name="图片 27" descr="五、数字政务建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五、数字政务建设"/>
                    <pic:cNvPicPr>
                      <a:picLocks noChangeAspect="1" noChangeArrowheads="1"/>
                    </pic:cNvPicPr>
                  </pic:nvPicPr>
                  <pic:blipFill>
                    <a:blip r:embed="rId47"/>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扫码查看政策：数字政务建设</w:t>
      </w:r>
    </w:p>
    <w:p>
      <w:pPr>
        <w:bidi w:val="0"/>
      </w:pPr>
      <w:r>
        <w:br w:type="page"/>
      </w:r>
    </w:p>
    <w:p>
      <w:pPr>
        <w:pStyle w:val="2"/>
        <w:bidi w:val="0"/>
        <w:rPr>
          <w:rFonts w:ascii="Times New Roman" w:hAnsi="Times New Roman" w:eastAsia="黑体"/>
          <w:sz w:val="32"/>
          <w:szCs w:val="32"/>
        </w:rPr>
      </w:pPr>
      <w:bookmarkStart w:id="262" w:name="_Toc1384222495"/>
      <w:bookmarkStart w:id="263" w:name="_Toc1413701129"/>
      <w:bookmarkStart w:id="264" w:name="_Toc117610818"/>
      <w:bookmarkStart w:id="265" w:name="_Toc1442619844"/>
      <w:bookmarkStart w:id="266" w:name="_Toc1425221781"/>
      <w:r>
        <w:rPr>
          <w:rStyle w:val="25"/>
        </w:rPr>
        <w:t>政务服务办理</w:t>
      </w:r>
      <w:bookmarkEnd w:id="255"/>
      <w:bookmarkEnd w:id="256"/>
      <w:bookmarkEnd w:id="257"/>
      <w:bookmarkEnd w:id="258"/>
      <w:bookmarkEnd w:id="259"/>
      <w:bookmarkEnd w:id="260"/>
      <w:bookmarkEnd w:id="261"/>
      <w:bookmarkEnd w:id="262"/>
      <w:bookmarkEnd w:id="263"/>
      <w:bookmarkEnd w:id="264"/>
      <w:bookmarkEnd w:id="265"/>
      <w:bookmarkEnd w:id="266"/>
    </w:p>
    <w:p>
      <w:pPr>
        <w:bidi w:val="0"/>
      </w:pPr>
    </w:p>
    <w:p>
      <w:pPr>
        <w:bidi w:val="0"/>
      </w:pPr>
      <w:r>
        <w:t>着力打造“枣办好”政务服务品牌，在各级政务服务大厅全面深化“一窗受理”改革，实行告知承诺制、容缺受理，落实“窗口无否决权”和政务服务“找茬吐槽”机制，全面实施“好差评”制度；深化行政审批延时服务、预约服务，设立24小时便民自助服务区，做到政务服务“24小时不打烊”。开通重点项目绿色通道，实行“一企一策”精准帮办代办服务。</w:t>
      </w:r>
    </w:p>
    <w:p>
      <w:pPr>
        <w:pStyle w:val="26"/>
        <w:bidi w:val="0"/>
      </w:pPr>
      <w:bookmarkStart w:id="267" w:name="_Toc1293"/>
      <w:bookmarkStart w:id="268" w:name="_Toc653049395_WPSOffice_Level1"/>
      <w:bookmarkStart w:id="269" w:name="_Toc189898469_WPSOffice_Level1"/>
      <w:bookmarkStart w:id="270" w:name="_Toc3053"/>
      <w:r>
        <w:drawing>
          <wp:inline distT="0" distB="0" distL="0" distR="0">
            <wp:extent cx="1080135" cy="1080135"/>
            <wp:effectExtent l="0" t="0" r="5715" b="5715"/>
            <wp:docPr id="28" name="图片 28" descr="六、政务服务办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六、政务服务办理"/>
                    <pic:cNvPicPr>
                      <a:picLocks noChangeAspect="1" noChangeArrowheads="1"/>
                    </pic:cNvPicPr>
                  </pic:nvPicPr>
                  <pic:blipFill>
                    <a:blip r:embed="rId48"/>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bookmarkStart w:id="271" w:name="_Toc1356264589"/>
      <w:bookmarkStart w:id="272" w:name="_Toc1848048154"/>
      <w:bookmarkStart w:id="273" w:name="_Toc1023395034"/>
      <w:r>
        <w:t>扫码查看政策：政务服务办理</w:t>
      </w:r>
    </w:p>
    <w:p>
      <w:pPr>
        <w:bidi w:val="0"/>
      </w:pPr>
      <w:r>
        <w:br w:type="page"/>
      </w:r>
    </w:p>
    <w:p>
      <w:pPr>
        <w:pStyle w:val="2"/>
        <w:bidi w:val="0"/>
        <w:rPr>
          <w:rFonts w:ascii="Times New Roman" w:hAnsi="Times New Roman" w:eastAsia="黑体"/>
          <w:color w:val="000000"/>
          <w:sz w:val="32"/>
          <w:szCs w:val="32"/>
        </w:rPr>
      </w:pPr>
      <w:bookmarkStart w:id="274" w:name="_Toc462894369"/>
      <w:bookmarkStart w:id="275" w:name="_Toc1090467672"/>
      <w:bookmarkStart w:id="276" w:name="_Toc1400140013"/>
      <w:bookmarkStart w:id="277" w:name="_Toc875910315"/>
      <w:bookmarkStart w:id="278" w:name="_Toc438977348"/>
      <w:r>
        <w:rPr>
          <w:rStyle w:val="25"/>
        </w:rPr>
        <w:t>政府采购和招投标</w:t>
      </w:r>
      <w:bookmarkEnd w:id="267"/>
      <w:bookmarkEnd w:id="268"/>
      <w:bookmarkEnd w:id="269"/>
      <w:bookmarkEnd w:id="270"/>
      <w:bookmarkEnd w:id="271"/>
      <w:bookmarkEnd w:id="272"/>
      <w:bookmarkEnd w:id="273"/>
      <w:bookmarkEnd w:id="274"/>
      <w:bookmarkEnd w:id="275"/>
      <w:bookmarkEnd w:id="276"/>
      <w:bookmarkEnd w:id="277"/>
      <w:bookmarkEnd w:id="278"/>
    </w:p>
    <w:p>
      <w:pPr>
        <w:bidi w:val="0"/>
      </w:pPr>
    </w:p>
    <w:p>
      <w:pPr>
        <w:bidi w:val="0"/>
      </w:pPr>
      <w:r>
        <w:t>赋予社会投资的房屋建筑工程建设单位发包自主权，消除在招投标过程中对不同所有制企业设置的各类不合理限制和壁垒。实施智能化交易系统建设，推进全流程电子化交易，增加不见面开标、远程异地评标、大数据分析和电子档案管理等功能，提升交易服务效能。</w:t>
      </w:r>
    </w:p>
    <w:p>
      <w:pPr>
        <w:pStyle w:val="26"/>
        <w:bidi w:val="0"/>
      </w:pPr>
      <w:r>
        <w:drawing>
          <wp:inline distT="0" distB="0" distL="0" distR="0">
            <wp:extent cx="1080135" cy="1080135"/>
            <wp:effectExtent l="0" t="0" r="5715" b="5715"/>
            <wp:docPr id="29" name="图片 29" descr="七、政府采购和招投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七、政府采购和招投标"/>
                    <pic:cNvPicPr>
                      <a:picLocks noChangeAspect="1" noChangeArrowheads="1"/>
                    </pic:cNvPicPr>
                  </pic:nvPicPr>
                  <pic:blipFill>
                    <a:blip r:embed="rId49"/>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扫码查看政策：政府采购和招投标</w:t>
      </w:r>
    </w:p>
    <w:p>
      <w:pPr>
        <w:bidi w:val="0"/>
      </w:pPr>
      <w:bookmarkStart w:id="279" w:name="_Toc695373022_WPSOffice_Level1"/>
      <w:bookmarkStart w:id="280" w:name="_Toc729279663_WPSOffice_Level1"/>
      <w:bookmarkStart w:id="281" w:name="_Toc1034563712"/>
      <w:bookmarkStart w:id="282" w:name="_Toc1958748217"/>
      <w:bookmarkStart w:id="283" w:name="_Toc20851"/>
      <w:bookmarkStart w:id="284" w:name="_Toc2283"/>
      <w:bookmarkStart w:id="285" w:name="_Toc587283210"/>
      <w:r>
        <w:br w:type="page"/>
      </w:r>
    </w:p>
    <w:p>
      <w:pPr>
        <w:pStyle w:val="2"/>
        <w:bidi w:val="0"/>
        <w:rPr>
          <w:rFonts w:ascii="Times New Roman" w:hAnsi="Times New Roman" w:eastAsia="黑体"/>
          <w:color w:val="000000"/>
          <w:sz w:val="32"/>
          <w:szCs w:val="32"/>
        </w:rPr>
      </w:pPr>
      <w:bookmarkStart w:id="286" w:name="_Toc1452839768"/>
      <w:bookmarkStart w:id="287" w:name="_Toc913035448"/>
      <w:bookmarkStart w:id="288" w:name="_Toc1307704434"/>
      <w:bookmarkStart w:id="289" w:name="_Toc1223151377"/>
      <w:bookmarkStart w:id="290" w:name="_Toc1675931434"/>
      <w:r>
        <w:rPr>
          <w:rStyle w:val="25"/>
        </w:rPr>
        <w:t>融资服务</w:t>
      </w:r>
      <w:bookmarkEnd w:id="279"/>
      <w:bookmarkEnd w:id="280"/>
      <w:bookmarkEnd w:id="281"/>
      <w:bookmarkEnd w:id="282"/>
      <w:bookmarkEnd w:id="283"/>
      <w:bookmarkEnd w:id="284"/>
      <w:bookmarkEnd w:id="285"/>
      <w:bookmarkEnd w:id="286"/>
      <w:bookmarkEnd w:id="287"/>
      <w:bookmarkEnd w:id="288"/>
      <w:bookmarkEnd w:id="289"/>
      <w:bookmarkEnd w:id="290"/>
    </w:p>
    <w:p>
      <w:pPr>
        <w:bidi w:val="0"/>
      </w:pPr>
    </w:p>
    <w:p>
      <w:pPr>
        <w:bidi w:val="0"/>
      </w:pPr>
      <w:r>
        <w:t>支持商业银行探索符合市场主体创新创业、生产经营需求的授信准入、风险评级、审查批准和贷后管理制度模式，提高市场主体信贷管理水平。税务、银保监部门和银行业金融机构加强合作，将市场主体纳税信用转化为融资信用，发挥纳税信用信息在普惠金融体系中的重要作用。</w:t>
      </w:r>
    </w:p>
    <w:p>
      <w:pPr>
        <w:pStyle w:val="26"/>
        <w:bidi w:val="0"/>
      </w:pPr>
      <w:bookmarkStart w:id="291" w:name="_Toc27668"/>
      <w:bookmarkStart w:id="292" w:name="_Toc1831394900_WPSOffice_Level1"/>
      <w:bookmarkStart w:id="293" w:name="_Toc2270"/>
      <w:bookmarkStart w:id="294" w:name="_Toc146041388"/>
      <w:bookmarkStart w:id="295" w:name="_Toc1586205132_WPSOffice_Level1"/>
      <w:bookmarkStart w:id="296" w:name="_Toc1080846014"/>
      <w:bookmarkStart w:id="297" w:name="_Toc1804217317"/>
      <w:r>
        <w:drawing>
          <wp:inline distT="0" distB="0" distL="0" distR="0">
            <wp:extent cx="1080135" cy="1080135"/>
            <wp:effectExtent l="0" t="0" r="5715" b="5715"/>
            <wp:docPr id="30" name="图片 30" descr="八、融资服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八、融资服务"/>
                    <pic:cNvPicPr>
                      <a:picLocks noChangeAspect="1" noChangeArrowheads="1"/>
                    </pic:cNvPicPr>
                  </pic:nvPicPr>
                  <pic:blipFill>
                    <a:blip r:embed="rId50"/>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扫码查看政策：融资服务</w:t>
      </w:r>
    </w:p>
    <w:p>
      <w:pPr>
        <w:bidi w:val="0"/>
      </w:pPr>
      <w:r>
        <w:br w:type="page"/>
      </w:r>
    </w:p>
    <w:p>
      <w:pPr>
        <w:pStyle w:val="2"/>
        <w:bidi w:val="0"/>
        <w:rPr>
          <w:rFonts w:ascii="Times New Roman" w:hAnsi="Times New Roman" w:eastAsia="黑体"/>
          <w:color w:val="000000"/>
          <w:sz w:val="32"/>
          <w:szCs w:val="32"/>
        </w:rPr>
      </w:pPr>
      <w:bookmarkStart w:id="298" w:name="_Toc614419732"/>
      <w:bookmarkStart w:id="299" w:name="_Toc467889598"/>
      <w:bookmarkStart w:id="300" w:name="_Toc2102596957"/>
      <w:bookmarkStart w:id="301" w:name="_Toc4992190"/>
      <w:bookmarkStart w:id="302" w:name="_Toc1199238343"/>
      <w:r>
        <w:rPr>
          <w:rStyle w:val="25"/>
        </w:rPr>
        <w:t>跨境贸易</w:t>
      </w:r>
      <w:bookmarkEnd w:id="291"/>
      <w:bookmarkEnd w:id="292"/>
      <w:bookmarkEnd w:id="293"/>
      <w:bookmarkEnd w:id="294"/>
      <w:bookmarkEnd w:id="295"/>
      <w:bookmarkEnd w:id="296"/>
      <w:bookmarkEnd w:id="297"/>
      <w:bookmarkEnd w:id="298"/>
      <w:bookmarkEnd w:id="299"/>
      <w:bookmarkEnd w:id="300"/>
      <w:bookmarkEnd w:id="301"/>
      <w:bookmarkEnd w:id="302"/>
    </w:p>
    <w:p>
      <w:pPr>
        <w:bidi w:val="0"/>
      </w:pPr>
    </w:p>
    <w:p>
      <w:pPr>
        <w:bidi w:val="0"/>
      </w:pPr>
      <w:r>
        <w:t>建设更高水平的国际贸易“单一窗口”，报检报关“串联”改“并联”，进一步压缩口岸整体通关时间。海关实施7×24小时预约加班，加急货物加急通关。</w:t>
      </w:r>
    </w:p>
    <w:p>
      <w:pPr>
        <w:pStyle w:val="26"/>
        <w:bidi w:val="0"/>
      </w:pPr>
      <w:bookmarkStart w:id="303" w:name="_Toc1979076659"/>
      <w:bookmarkStart w:id="304" w:name="_Toc1408755713_WPSOffice_Level1"/>
      <w:bookmarkStart w:id="305" w:name="_Toc15703"/>
      <w:bookmarkStart w:id="306" w:name="_Toc8314"/>
      <w:bookmarkStart w:id="307" w:name="_Toc269151286"/>
      <w:bookmarkStart w:id="308" w:name="_Toc1202087566"/>
      <w:bookmarkStart w:id="309" w:name="_Toc938759779_WPSOffice_Level1"/>
      <w:r>
        <w:drawing>
          <wp:inline distT="0" distB="0" distL="0" distR="0">
            <wp:extent cx="1080135" cy="1080135"/>
            <wp:effectExtent l="0" t="0" r="5715" b="5715"/>
            <wp:docPr id="31" name="图片 31" descr="九、跨境贸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九、跨境贸易"/>
                    <pic:cNvPicPr>
                      <a:picLocks noChangeAspect="1" noChangeArrowheads="1"/>
                    </pic:cNvPicPr>
                  </pic:nvPicPr>
                  <pic:blipFill>
                    <a:blip r:embed="rId51"/>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扫码查看政策：跨境贸易</w:t>
      </w:r>
    </w:p>
    <w:p>
      <w:pPr>
        <w:bidi w:val="0"/>
      </w:pPr>
      <w:r>
        <w:br w:type="page"/>
      </w:r>
    </w:p>
    <w:p>
      <w:pPr>
        <w:pStyle w:val="2"/>
        <w:bidi w:val="0"/>
        <w:rPr>
          <w:rFonts w:ascii="Times New Roman" w:hAnsi="Times New Roman" w:eastAsia="黑体"/>
          <w:color w:val="000000"/>
          <w:sz w:val="32"/>
          <w:szCs w:val="32"/>
        </w:rPr>
      </w:pPr>
      <w:bookmarkStart w:id="310" w:name="_Toc797468541"/>
      <w:bookmarkStart w:id="311" w:name="_Toc1055353498"/>
      <w:bookmarkStart w:id="312" w:name="_Toc1556750017"/>
      <w:bookmarkStart w:id="313" w:name="_Toc1398267537"/>
      <w:bookmarkStart w:id="314" w:name="_Toc1874454301"/>
      <w:r>
        <w:rPr>
          <w:rStyle w:val="25"/>
        </w:rPr>
        <w:t>市场监管</w:t>
      </w:r>
      <w:bookmarkEnd w:id="303"/>
      <w:bookmarkEnd w:id="304"/>
      <w:bookmarkEnd w:id="305"/>
      <w:bookmarkEnd w:id="306"/>
      <w:bookmarkEnd w:id="307"/>
      <w:bookmarkEnd w:id="308"/>
      <w:bookmarkEnd w:id="309"/>
      <w:bookmarkEnd w:id="310"/>
      <w:bookmarkEnd w:id="311"/>
      <w:bookmarkEnd w:id="312"/>
      <w:bookmarkEnd w:id="313"/>
      <w:bookmarkEnd w:id="314"/>
    </w:p>
    <w:p>
      <w:pPr>
        <w:bidi w:val="0"/>
      </w:pPr>
    </w:p>
    <w:p>
      <w:pPr>
        <w:bidi w:val="0"/>
      </w:pPr>
      <w:r>
        <w:t>持续推动部门联合“双随机、一公开”监管常态化，降低守法诚信企业抽查比例，一年内对同一市场主体的检查，原则上不超过2次。</w:t>
      </w:r>
    </w:p>
    <w:p>
      <w:pPr>
        <w:pStyle w:val="26"/>
        <w:bidi w:val="0"/>
      </w:pPr>
      <w:r>
        <w:drawing>
          <wp:inline distT="0" distB="0" distL="0" distR="0">
            <wp:extent cx="1080135" cy="1080135"/>
            <wp:effectExtent l="0" t="0" r="5715" b="5715"/>
            <wp:docPr id="32" name="图片 32" descr="十、市场监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十、市场监管"/>
                    <pic:cNvPicPr>
                      <a:picLocks noChangeAspect="1" noChangeArrowheads="1"/>
                    </pic:cNvPicPr>
                  </pic:nvPicPr>
                  <pic:blipFill>
                    <a:blip r:embed="rId52"/>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bookmarkStart w:id="315" w:name="_Toc1582487052"/>
      <w:bookmarkStart w:id="316" w:name="_Toc101669802"/>
      <w:bookmarkStart w:id="317" w:name="_Toc2085707493_WPSOffice_Level1"/>
      <w:bookmarkStart w:id="318" w:name="_Toc30639"/>
      <w:bookmarkStart w:id="319" w:name="_Toc720206764"/>
      <w:bookmarkStart w:id="320" w:name="_Toc1129671346_WPSOffice_Level1"/>
      <w:bookmarkStart w:id="321" w:name="_Toc11029"/>
      <w:r>
        <w:t>扫码查看政策：市场监管</w:t>
      </w:r>
    </w:p>
    <w:p>
      <w:pPr>
        <w:bidi w:val="0"/>
      </w:pPr>
      <w:r>
        <w:br w:type="page"/>
      </w:r>
    </w:p>
    <w:p>
      <w:pPr>
        <w:pStyle w:val="2"/>
        <w:bidi w:val="0"/>
        <w:rPr>
          <w:rFonts w:ascii="Times New Roman" w:hAnsi="Times New Roman" w:eastAsia="黑体"/>
          <w:color w:val="000000"/>
          <w:sz w:val="32"/>
          <w:szCs w:val="32"/>
        </w:rPr>
      </w:pPr>
      <w:bookmarkStart w:id="322" w:name="_Toc696042079"/>
      <w:bookmarkStart w:id="323" w:name="_Toc1557204090"/>
      <w:bookmarkStart w:id="324" w:name="_Toc1219594649"/>
      <w:bookmarkStart w:id="325" w:name="_Toc483982739"/>
      <w:bookmarkStart w:id="326" w:name="_Toc2030956544"/>
      <w:r>
        <w:rPr>
          <w:rStyle w:val="25"/>
        </w:rPr>
        <w:t>诚信建设</w:t>
      </w:r>
      <w:bookmarkEnd w:id="315"/>
      <w:bookmarkEnd w:id="316"/>
      <w:bookmarkEnd w:id="317"/>
      <w:bookmarkEnd w:id="318"/>
      <w:bookmarkEnd w:id="319"/>
      <w:bookmarkEnd w:id="320"/>
      <w:bookmarkEnd w:id="321"/>
      <w:bookmarkEnd w:id="322"/>
      <w:bookmarkEnd w:id="323"/>
      <w:bookmarkEnd w:id="324"/>
      <w:bookmarkEnd w:id="325"/>
      <w:bookmarkEnd w:id="326"/>
    </w:p>
    <w:p>
      <w:pPr>
        <w:bidi w:val="0"/>
      </w:pPr>
    </w:p>
    <w:p>
      <w:pPr>
        <w:bidi w:val="0"/>
      </w:pPr>
      <w:r>
        <w:t>建立“政府承诺+社会监督+失信问责”机制，梳理政府对企业失信事项，逐项提出依法依规限期解决的措施。深入推进社会信用体系建设，建立健全失信约束措施台账，对严重失信主体在行政审批、财政性资金分配、评先评优、公共资源交易等领域实施限制性措施，推动信用制度、信用记录、共享平台、联合惩戒等方面实现新突破。</w:t>
      </w:r>
    </w:p>
    <w:p>
      <w:pPr>
        <w:pStyle w:val="26"/>
        <w:bidi w:val="0"/>
      </w:pPr>
      <w:bookmarkStart w:id="327" w:name="_Toc629384596_WPSOffice_Level1"/>
      <w:bookmarkStart w:id="328" w:name="_Toc3985"/>
      <w:bookmarkStart w:id="329" w:name="_Toc1951634280"/>
      <w:bookmarkStart w:id="330" w:name="_Toc1697156387_WPSOffice_Level1"/>
      <w:bookmarkStart w:id="331" w:name="_Toc914860323"/>
      <w:bookmarkStart w:id="332" w:name="_Toc18828"/>
      <w:bookmarkStart w:id="333" w:name="_Toc445192985"/>
      <w:r>
        <w:drawing>
          <wp:inline distT="0" distB="0" distL="0" distR="0">
            <wp:extent cx="1080135" cy="1080135"/>
            <wp:effectExtent l="0" t="0" r="5715" b="5715"/>
            <wp:docPr id="33" name="图片 33" descr="十一、诚信建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十一、诚信建设"/>
                    <pic:cNvPicPr>
                      <a:picLocks noChangeAspect="1" noChangeArrowheads="1"/>
                    </pic:cNvPicPr>
                  </pic:nvPicPr>
                  <pic:blipFill>
                    <a:blip r:embed="rId53"/>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扫码查看政策：诚信建设</w:t>
      </w:r>
    </w:p>
    <w:p>
      <w:pPr>
        <w:bidi w:val="0"/>
      </w:pPr>
      <w:r>
        <w:br w:type="page"/>
      </w:r>
    </w:p>
    <w:p>
      <w:pPr>
        <w:pStyle w:val="2"/>
        <w:bidi w:val="0"/>
        <w:rPr>
          <w:rFonts w:ascii="Times New Roman" w:hAnsi="Times New Roman" w:eastAsia="黑体"/>
          <w:color w:val="000000"/>
          <w:sz w:val="32"/>
          <w:szCs w:val="32"/>
        </w:rPr>
      </w:pPr>
      <w:bookmarkStart w:id="334" w:name="_Toc543623872"/>
      <w:bookmarkStart w:id="335" w:name="_Toc128595617"/>
      <w:bookmarkStart w:id="336" w:name="_Toc2092162860"/>
      <w:bookmarkStart w:id="337" w:name="_Toc574535954"/>
      <w:bookmarkStart w:id="338" w:name="_Toc1723897004"/>
      <w:r>
        <w:rPr>
          <w:rStyle w:val="25"/>
        </w:rPr>
        <w:t>社会治安</w:t>
      </w:r>
      <w:bookmarkEnd w:id="327"/>
      <w:bookmarkEnd w:id="328"/>
      <w:bookmarkEnd w:id="329"/>
      <w:bookmarkEnd w:id="330"/>
      <w:bookmarkEnd w:id="331"/>
      <w:bookmarkEnd w:id="332"/>
      <w:bookmarkEnd w:id="333"/>
      <w:bookmarkEnd w:id="334"/>
      <w:bookmarkEnd w:id="335"/>
      <w:bookmarkEnd w:id="336"/>
      <w:bookmarkEnd w:id="337"/>
      <w:bookmarkEnd w:id="338"/>
    </w:p>
    <w:p>
      <w:pPr>
        <w:bidi w:val="0"/>
      </w:pPr>
    </w:p>
    <w:p>
      <w:pPr>
        <w:bidi w:val="0"/>
      </w:pPr>
      <w:r>
        <w:t>建立“一企一警”服务机制，开展“千警联千企”活动，对重点企业涉警警情常态研判、快速处置，帮助企业解决困难和问题。开展治安秩序整治并严厉打击违法犯罪，为企业发展营造良好治安环境。</w:t>
      </w:r>
    </w:p>
    <w:p>
      <w:pPr>
        <w:pStyle w:val="26"/>
        <w:bidi w:val="0"/>
      </w:pPr>
      <w:bookmarkStart w:id="339" w:name="_Toc1942906177_WPSOffice_Level1"/>
      <w:bookmarkStart w:id="340" w:name="_Toc30907"/>
      <w:bookmarkStart w:id="341" w:name="_Toc1160476063"/>
      <w:bookmarkStart w:id="342" w:name="_Toc1443410554_WPSOffice_Level1"/>
      <w:bookmarkStart w:id="343" w:name="_Toc1617657849"/>
      <w:bookmarkStart w:id="344" w:name="_Toc8737"/>
      <w:bookmarkStart w:id="345" w:name="_Toc163327430"/>
      <w:r>
        <w:drawing>
          <wp:inline distT="0" distB="0" distL="0" distR="0">
            <wp:extent cx="1080135" cy="1080135"/>
            <wp:effectExtent l="0" t="0" r="5715" b="5715"/>
            <wp:docPr id="34" name="图片 34" descr="十二、社会治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十二、社会治安"/>
                    <pic:cNvPicPr>
                      <a:picLocks noChangeAspect="1" noChangeArrowheads="1"/>
                    </pic:cNvPicPr>
                  </pic:nvPicPr>
                  <pic:blipFill>
                    <a:blip r:embed="rId54"/>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扫码查看政策：社会治安</w:t>
      </w:r>
    </w:p>
    <w:p>
      <w:pPr>
        <w:bidi w:val="0"/>
      </w:pPr>
      <w:r>
        <w:br w:type="page"/>
      </w:r>
    </w:p>
    <w:p>
      <w:pPr>
        <w:pStyle w:val="2"/>
        <w:bidi w:val="0"/>
        <w:rPr>
          <w:rFonts w:ascii="Times New Roman" w:hAnsi="Times New Roman" w:eastAsia="黑体"/>
          <w:color w:val="000000"/>
          <w:sz w:val="32"/>
          <w:szCs w:val="32"/>
        </w:rPr>
      </w:pPr>
      <w:bookmarkStart w:id="346" w:name="_Toc1127968021"/>
      <w:bookmarkStart w:id="347" w:name="_Toc1276722827"/>
      <w:bookmarkStart w:id="348" w:name="_Toc534031779"/>
      <w:bookmarkStart w:id="349" w:name="_Toc404362629"/>
      <w:bookmarkStart w:id="350" w:name="_Toc1553658408"/>
      <w:r>
        <w:rPr>
          <w:rStyle w:val="25"/>
        </w:rPr>
        <w:t>企业家权益保护</w:t>
      </w:r>
      <w:bookmarkEnd w:id="339"/>
      <w:bookmarkEnd w:id="340"/>
      <w:bookmarkEnd w:id="341"/>
      <w:bookmarkEnd w:id="342"/>
      <w:bookmarkEnd w:id="343"/>
      <w:bookmarkEnd w:id="344"/>
      <w:bookmarkEnd w:id="345"/>
      <w:bookmarkEnd w:id="346"/>
      <w:bookmarkEnd w:id="347"/>
      <w:bookmarkEnd w:id="348"/>
      <w:bookmarkEnd w:id="349"/>
      <w:bookmarkEnd w:id="350"/>
    </w:p>
    <w:p>
      <w:pPr>
        <w:bidi w:val="0"/>
      </w:pPr>
    </w:p>
    <w:p>
      <w:pPr>
        <w:bidi w:val="0"/>
      </w:pPr>
      <w:r>
        <w:t>严格落实执法司法平等保护机制，突出保护企业家人身和财产安全，依法妥善处理各种涉企纠纷。对企业轻微违规或非主观过失实行首次不罚、首次轻罚，慎用查封、扣押、冻结等强制措施，最大限度减少对企业正常生产经营活动的影响。发挥审判监督的纠错功能，保障企业家对生效裁判的申请再审权。激发和保护企业家精神，每年表彰一批功勋企业，在全社会形成重商亲商、安商富商的良好氛围。</w:t>
      </w:r>
    </w:p>
    <w:p>
      <w:pPr>
        <w:pStyle w:val="26"/>
        <w:bidi w:val="0"/>
      </w:pPr>
      <w:r>
        <w:drawing>
          <wp:inline distT="0" distB="0" distL="0" distR="0">
            <wp:extent cx="1080135" cy="1080135"/>
            <wp:effectExtent l="0" t="0" r="5715" b="5715"/>
            <wp:docPr id="35" name="图片 35" descr="十三、企业家权益保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十三、企业家权益保护"/>
                    <pic:cNvPicPr>
                      <a:picLocks noChangeAspect="1" noChangeArrowheads="1"/>
                    </pic:cNvPicPr>
                  </pic:nvPicPr>
                  <pic:blipFill>
                    <a:blip r:embed="rId55"/>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扫码查看政策：企业家权益保护</w:t>
      </w:r>
    </w:p>
    <w:p>
      <w:pPr>
        <w:bidi w:val="0"/>
      </w:pPr>
      <w:r>
        <w:br w:type="page"/>
      </w:r>
    </w:p>
    <w:p>
      <w:pPr>
        <w:pStyle w:val="2"/>
        <w:bidi w:val="0"/>
        <w:rPr>
          <w:rFonts w:ascii="Times New Roman" w:hAnsi="Times New Roman" w:eastAsia="黑体"/>
          <w:color w:val="000000"/>
          <w:sz w:val="32"/>
          <w:szCs w:val="32"/>
        </w:rPr>
      </w:pPr>
      <w:bookmarkStart w:id="351" w:name="_Toc219765748"/>
      <w:bookmarkStart w:id="352" w:name="_Toc1740251943"/>
      <w:bookmarkStart w:id="353" w:name="_Toc318424761"/>
      <w:bookmarkStart w:id="354" w:name="_Toc1466240845"/>
      <w:bookmarkStart w:id="355" w:name="_Toc586650236"/>
      <w:r>
        <w:rPr>
          <w:rStyle w:val="25"/>
        </w:rPr>
        <w:t>知识产权保护</w:t>
      </w:r>
      <w:bookmarkEnd w:id="351"/>
      <w:bookmarkEnd w:id="352"/>
      <w:bookmarkEnd w:id="353"/>
      <w:bookmarkEnd w:id="354"/>
      <w:bookmarkEnd w:id="355"/>
    </w:p>
    <w:p>
      <w:pPr>
        <w:bidi w:val="0"/>
      </w:pPr>
    </w:p>
    <w:p>
      <w:pPr>
        <w:bidi w:val="0"/>
      </w:pPr>
      <w:r>
        <w:t>建立健全知识产权举报投诉和维权援助体系，加大知识产权侵权违法行为处置力度，提高专利权、商标权、著作权侵权纠纷行政处理效率。完善知识产权司法保护网络，严格落实“三审合一”审判工作机制，加大惩罚性赔偿制度适用力度。</w:t>
      </w:r>
    </w:p>
    <w:p>
      <w:pPr>
        <w:pStyle w:val="26"/>
        <w:bidi w:val="0"/>
      </w:pPr>
      <w:r>
        <w:drawing>
          <wp:inline distT="0" distB="0" distL="0" distR="0">
            <wp:extent cx="1080135" cy="1080135"/>
            <wp:effectExtent l="0" t="0" r="5715" b="5715"/>
            <wp:docPr id="36" name="图片 36" descr="十四、知识产权保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十四、知识产权保护"/>
                    <pic:cNvPicPr>
                      <a:picLocks noChangeAspect="1" noChangeArrowheads="1"/>
                    </pic:cNvPicPr>
                  </pic:nvPicPr>
                  <pic:blipFill>
                    <a:blip r:embed="rId56"/>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扫码查看政策：知识产权保护</w:t>
      </w:r>
    </w:p>
    <w:p>
      <w:pPr>
        <w:bidi w:val="0"/>
      </w:pPr>
      <w:r>
        <w:br w:type="page"/>
      </w:r>
    </w:p>
    <w:p>
      <w:pPr>
        <w:pStyle w:val="2"/>
        <w:bidi w:val="0"/>
        <w:rPr>
          <w:rFonts w:ascii="Times New Roman" w:hAnsi="Times New Roman" w:eastAsia="黑体"/>
          <w:color w:val="000000"/>
          <w:sz w:val="32"/>
          <w:szCs w:val="32"/>
        </w:rPr>
      </w:pPr>
      <w:bookmarkStart w:id="356" w:name="_Toc2002806140"/>
      <w:bookmarkStart w:id="357" w:name="_Toc280307505"/>
      <w:bookmarkStart w:id="358" w:name="_Toc1997648888"/>
      <w:bookmarkStart w:id="359" w:name="_Toc1607593076"/>
      <w:bookmarkStart w:id="360" w:name="_Toc169784967"/>
      <w:r>
        <w:rPr>
          <w:rStyle w:val="25"/>
        </w:rPr>
        <w:t>中介服务</w:t>
      </w:r>
      <w:bookmarkEnd w:id="356"/>
      <w:bookmarkEnd w:id="357"/>
      <w:bookmarkEnd w:id="358"/>
      <w:bookmarkEnd w:id="359"/>
      <w:bookmarkEnd w:id="360"/>
    </w:p>
    <w:p>
      <w:pPr>
        <w:bidi w:val="0"/>
      </w:pPr>
    </w:p>
    <w:p>
      <w:pPr>
        <w:bidi w:val="0"/>
      </w:pPr>
      <w:r>
        <w:t>严控新设中介服务项目，动态调整市级政务服务事项中介服务项目清单。按照“垄断性中介必须进驻、竞争性中介择优进驻、缺位中介外来引进”的原则，在市民中心设立中介集中服务区，建立“中介服务超市”。</w:t>
      </w:r>
    </w:p>
    <w:p>
      <w:pPr>
        <w:pStyle w:val="26"/>
        <w:bidi w:val="0"/>
      </w:pPr>
      <w:r>
        <w:drawing>
          <wp:inline distT="0" distB="0" distL="0" distR="0">
            <wp:extent cx="1080135" cy="1080135"/>
            <wp:effectExtent l="0" t="0" r="5715" b="5715"/>
            <wp:docPr id="37" name="图片 37" descr="十五、中介服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十五、中介服务"/>
                    <pic:cNvPicPr>
                      <a:picLocks noChangeAspect="1" noChangeArrowheads="1"/>
                    </pic:cNvPicPr>
                  </pic:nvPicPr>
                  <pic:blipFill>
                    <a:blip r:embed="rId57"/>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扫码查看政策：中介服务</w:t>
      </w:r>
    </w:p>
    <w:p>
      <w:pPr>
        <w:pStyle w:val="6"/>
        <w:bidi w:val="0"/>
      </w:pPr>
      <w:r>
        <w:br w:type="page"/>
      </w:r>
    </w:p>
    <w:p>
      <w:pPr>
        <w:pStyle w:val="2"/>
        <w:bidi w:val="0"/>
        <w:rPr>
          <w:rFonts w:ascii="Times New Roman" w:hAnsi="Times New Roman" w:eastAsia="黑体"/>
          <w:color w:val="000000"/>
          <w:sz w:val="32"/>
          <w:szCs w:val="32"/>
        </w:rPr>
      </w:pPr>
      <w:bookmarkStart w:id="361" w:name="_Toc1542017654"/>
      <w:bookmarkStart w:id="362" w:name="_Toc1897750233"/>
      <w:bookmarkStart w:id="363" w:name="_Toc448408953"/>
      <w:bookmarkStart w:id="364" w:name="_Toc2093544970"/>
      <w:bookmarkStart w:id="365" w:name="_Toc919383888"/>
      <w:r>
        <w:rPr>
          <w:rStyle w:val="25"/>
        </w:rPr>
        <w:t>企业退出</w:t>
      </w:r>
      <w:bookmarkEnd w:id="361"/>
      <w:bookmarkEnd w:id="362"/>
      <w:bookmarkEnd w:id="363"/>
      <w:bookmarkEnd w:id="364"/>
      <w:bookmarkEnd w:id="365"/>
    </w:p>
    <w:p>
      <w:pPr>
        <w:bidi w:val="0"/>
      </w:pPr>
    </w:p>
    <w:p>
      <w:pPr>
        <w:bidi w:val="0"/>
      </w:pPr>
      <w:r>
        <w:t>加强破产审判专业化建设，充分发挥府院联动、破产重整企业信用修复机制和破产管理人协会作用，加快审理破产案件，探索破产案件繁简分流机制，对“僵尸企业”破产案件快速受理、快速出清。进一步提升企业注销便利度，强化税务、市场监管等环节协同办理，扩大简易注销范围，压缩简易注销时间，让市场主体进得来、退得出。</w:t>
      </w:r>
    </w:p>
    <w:p>
      <w:pPr>
        <w:pStyle w:val="26"/>
        <w:bidi w:val="0"/>
      </w:pPr>
      <w:bookmarkStart w:id="366" w:name="_Toc24045"/>
      <w:bookmarkStart w:id="367" w:name="_Toc1826267233_WPSOffice_Level1"/>
      <w:bookmarkStart w:id="368" w:name="_Toc13930"/>
      <w:bookmarkStart w:id="369" w:name="_Toc1248270441_WPSOffice_Level1"/>
      <w:r>
        <w:drawing>
          <wp:inline distT="0" distB="0" distL="0" distR="0">
            <wp:extent cx="1080135" cy="1080135"/>
            <wp:effectExtent l="0" t="0" r="5715" b="5715"/>
            <wp:docPr id="38" name="图片 38" descr="十六、企业退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十六、企业退出"/>
                    <pic:cNvPicPr>
                      <a:picLocks noChangeAspect="1" noChangeArrowheads="1"/>
                    </pic:cNvPicPr>
                  </pic:nvPicPr>
                  <pic:blipFill>
                    <a:blip r:embed="rId58"/>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bookmarkStart w:id="370" w:name="_Toc26161429"/>
      <w:bookmarkStart w:id="371" w:name="_Toc973701362"/>
      <w:bookmarkStart w:id="372" w:name="_Toc598607044"/>
      <w:r>
        <w:t>扫码查看政策：企业退出</w:t>
      </w:r>
    </w:p>
    <w:p>
      <w:pPr>
        <w:bidi w:val="0"/>
      </w:pPr>
      <w:r>
        <w:br w:type="page"/>
      </w:r>
    </w:p>
    <w:p>
      <w:pPr>
        <w:pStyle w:val="2"/>
        <w:bidi w:val="0"/>
        <w:rPr>
          <w:rFonts w:ascii="Times New Roman" w:hAnsi="Times New Roman" w:eastAsia="黑体"/>
          <w:color w:val="000000"/>
          <w:sz w:val="32"/>
          <w:szCs w:val="32"/>
        </w:rPr>
      </w:pPr>
      <w:bookmarkStart w:id="373" w:name="_Toc38937798"/>
      <w:bookmarkStart w:id="374" w:name="_Toc1009734173"/>
      <w:bookmarkStart w:id="375" w:name="_Toc1134473755"/>
      <w:bookmarkStart w:id="376" w:name="_Toc646501912"/>
      <w:bookmarkStart w:id="377" w:name="_Toc1267876329"/>
      <w:r>
        <w:rPr>
          <w:rStyle w:val="25"/>
        </w:rPr>
        <w:t>诉求办理</w:t>
      </w:r>
      <w:bookmarkEnd w:id="366"/>
      <w:bookmarkEnd w:id="367"/>
      <w:bookmarkEnd w:id="368"/>
      <w:bookmarkEnd w:id="369"/>
      <w:bookmarkEnd w:id="370"/>
      <w:bookmarkEnd w:id="371"/>
      <w:bookmarkEnd w:id="372"/>
      <w:bookmarkEnd w:id="373"/>
      <w:bookmarkEnd w:id="374"/>
      <w:bookmarkEnd w:id="375"/>
      <w:bookmarkEnd w:id="376"/>
      <w:bookmarkEnd w:id="377"/>
    </w:p>
    <w:p>
      <w:pPr>
        <w:bidi w:val="0"/>
      </w:pPr>
    </w:p>
    <w:p>
      <w:pPr>
        <w:bidi w:val="0"/>
      </w:pPr>
      <w:r>
        <w:t>依托“爱山东•枣庄”APP和12345政务服务热线，整合市长信箱、国务院“互联网+督查”、人民网地方领导留言板等渠道，搭建市“企呼枣（早）应、接诉即办”综合指挥平台，扎口受理企业各类咨询、求助、建议、投诉、举报类诉求。实行“顶格协调、提级办理”，建立快速响应、高效办理、及时反馈、闭环运行的工作机制，做到企业诉求“统一受理、统一服务、统一督办、统一回访”，帮助企业破解生产经营活动中的堵点痛点。对各区（市）和市直部门（单位）诉求事项办理情况，建立健全一月一通报、一季度一测评、半年一排名、年终总评的考核评价机制，确保考出实效。</w:t>
      </w:r>
    </w:p>
    <w:p>
      <w:pPr>
        <w:pStyle w:val="26"/>
        <w:bidi w:val="0"/>
      </w:pPr>
      <w:bookmarkStart w:id="378" w:name="_Toc1247182840_WPSOffice_Level1"/>
      <w:bookmarkStart w:id="379" w:name="_Toc2101016464"/>
      <w:bookmarkStart w:id="380" w:name="_Toc839627761"/>
      <w:bookmarkStart w:id="381" w:name="_Toc2077873754_WPSOffice_Level1"/>
      <w:bookmarkStart w:id="382" w:name="_Toc17380"/>
      <w:bookmarkStart w:id="383" w:name="_Toc227066713"/>
      <w:bookmarkStart w:id="384" w:name="_Toc3366"/>
      <w:r>
        <w:drawing>
          <wp:inline distT="0" distB="0" distL="0" distR="0">
            <wp:extent cx="1080135" cy="1080135"/>
            <wp:effectExtent l="0" t="0" r="5715" b="5715"/>
            <wp:docPr id="39" name="图片 39" descr="十七、诉求办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十七、诉求办理"/>
                    <pic:cNvPicPr>
                      <a:picLocks noChangeAspect="1" noChangeArrowheads="1"/>
                    </pic:cNvPicPr>
                  </pic:nvPicPr>
                  <pic:blipFill>
                    <a:blip r:embed="rId59"/>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扫码查看政策：诉求办理</w:t>
      </w:r>
    </w:p>
    <w:p>
      <w:pPr>
        <w:bidi w:val="0"/>
        <w:rPr>
          <w:rFonts w:ascii="Times New Roman" w:hAnsi="Times New Roman" w:eastAsia="黑体"/>
          <w:color w:val="000000"/>
          <w:sz w:val="32"/>
          <w:szCs w:val="32"/>
        </w:rPr>
      </w:pPr>
      <w:r>
        <w:rPr>
          <w:rFonts w:ascii="Times New Roman" w:hAnsi="Times New Roman" w:eastAsia="黑体"/>
          <w:color w:val="000000"/>
          <w:sz w:val="32"/>
          <w:szCs w:val="32"/>
        </w:rPr>
        <w:br w:type="page"/>
      </w:r>
      <w:bookmarkStart w:id="385" w:name="_Toc295185928"/>
      <w:bookmarkStart w:id="386" w:name="_Toc1048326742"/>
      <w:bookmarkStart w:id="387" w:name="_Toc80099619"/>
    </w:p>
    <w:p>
      <w:pPr>
        <w:pStyle w:val="2"/>
        <w:bidi w:val="0"/>
        <w:rPr>
          <w:rFonts w:ascii="Times New Roman" w:hAnsi="Times New Roman" w:eastAsia="黑体"/>
          <w:color w:val="000000"/>
          <w:sz w:val="32"/>
          <w:szCs w:val="32"/>
        </w:rPr>
      </w:pPr>
      <w:bookmarkStart w:id="388" w:name="_Toc2097762486"/>
      <w:bookmarkStart w:id="389" w:name="_Toc874496989"/>
      <w:r>
        <w:rPr>
          <w:rStyle w:val="25"/>
        </w:rPr>
        <w:t>项目服务</w:t>
      </w:r>
      <w:bookmarkEnd w:id="378"/>
      <w:bookmarkEnd w:id="379"/>
      <w:bookmarkEnd w:id="380"/>
      <w:bookmarkEnd w:id="381"/>
      <w:bookmarkEnd w:id="382"/>
      <w:bookmarkEnd w:id="383"/>
      <w:bookmarkEnd w:id="384"/>
      <w:bookmarkEnd w:id="385"/>
      <w:bookmarkEnd w:id="386"/>
      <w:bookmarkEnd w:id="387"/>
      <w:bookmarkEnd w:id="388"/>
      <w:bookmarkEnd w:id="389"/>
    </w:p>
    <w:p>
      <w:pPr>
        <w:bidi w:val="0"/>
      </w:pPr>
    </w:p>
    <w:p>
      <w:pPr>
        <w:bidi w:val="0"/>
        <w:rPr>
          <w:rFonts w:ascii="Times New Roman" w:hAnsi="Times New Roman" w:eastAsia="黑体"/>
          <w:color w:val="000000"/>
          <w:sz w:val="32"/>
          <w:szCs w:val="32"/>
        </w:rPr>
      </w:pPr>
      <w:r>
        <w:t>开展重点项目全生命周期服务，对“6+3”现代产业体系项目及重大基础设施、重大平台、重大民生工程实施入库管理和重点服务，建立“一个重点项目、一名推进专员、一个责任部门、一个推进方案、一跟到底”的“五个一”重点项目专员推进机制。对投资规模大、带动能力强、“补链、强链、延链”的重点项目，建立“一个项目、一名市级领导、一套专班、一抓到底”的领导帮扶帮包推进机制，帮包领导落实“一线工作法”，点对点联系项目单位，每季度到项目单位现场办公不少于一次，及时协调解决项目推进过程中存在的困难和问题。</w:t>
      </w:r>
      <w:bookmarkStart w:id="390" w:name="_Toc498987199"/>
      <w:bookmarkStart w:id="391" w:name="_Toc186664546"/>
      <w:bookmarkStart w:id="392" w:name="_Toc24414"/>
      <w:bookmarkStart w:id="393" w:name="_Toc1391676262_WPSOffice_Level1"/>
      <w:bookmarkStart w:id="394" w:name="_Toc94608785"/>
      <w:bookmarkStart w:id="395" w:name="_Toc8837"/>
      <w:bookmarkStart w:id="396" w:name="_Toc1639978000_WPSOffice_Level1"/>
    </w:p>
    <w:p>
      <w:pPr>
        <w:pStyle w:val="26"/>
        <w:bidi w:val="0"/>
      </w:pPr>
      <w:r>
        <w:drawing>
          <wp:inline distT="0" distB="0" distL="0" distR="0">
            <wp:extent cx="1080135" cy="1080135"/>
            <wp:effectExtent l="0" t="0" r="5715" b="5715"/>
            <wp:docPr id="40" name="图片 40" descr="十八、项目服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十八、项目服务"/>
                    <pic:cNvPicPr>
                      <a:picLocks noChangeAspect="1" noChangeArrowheads="1"/>
                    </pic:cNvPicPr>
                  </pic:nvPicPr>
                  <pic:blipFill>
                    <a:blip r:embed="rId60"/>
                    <a:srcRect/>
                    <a:stretch>
                      <a:fillRect/>
                    </a:stretch>
                  </pic:blipFill>
                  <pic:spPr>
                    <a:xfrm>
                      <a:off x="0" y="0"/>
                      <a:ext cx="1080135" cy="1080135"/>
                    </a:xfrm>
                    <a:prstGeom prst="rect">
                      <a:avLst/>
                    </a:prstGeom>
                    <a:noFill/>
                    <a:ln w="9525">
                      <a:noFill/>
                      <a:miter lim="800000"/>
                      <a:headEnd/>
                      <a:tailEnd/>
                    </a:ln>
                  </pic:spPr>
                </pic:pic>
              </a:graphicData>
            </a:graphic>
          </wp:inline>
        </w:drawing>
      </w:r>
    </w:p>
    <w:p>
      <w:pPr>
        <w:pStyle w:val="27"/>
        <w:bidi w:val="0"/>
      </w:pPr>
      <w:r>
        <w:t>扫码查看政策：项目服务</w:t>
      </w:r>
    </w:p>
    <w:p>
      <w:r>
        <w:br w:type="page"/>
      </w:r>
    </w:p>
    <w:bookmarkEnd w:id="390"/>
    <w:bookmarkEnd w:id="391"/>
    <w:bookmarkEnd w:id="392"/>
    <w:bookmarkEnd w:id="393"/>
    <w:bookmarkEnd w:id="394"/>
    <w:bookmarkEnd w:id="395"/>
    <w:bookmarkEnd w:id="396"/>
    <w:p>
      <w:pPr>
        <w:pStyle w:val="2"/>
        <w:bidi w:val="0"/>
        <w:rPr>
          <w:rStyle w:val="25"/>
          <w:rFonts w:hint="eastAsia" w:cs="Times New Roman"/>
          <w:lang w:eastAsia="zh-CN"/>
        </w:rPr>
      </w:pPr>
      <w:bookmarkStart w:id="397" w:name="_Toc1766636927"/>
      <w:r>
        <w:rPr>
          <w:rStyle w:val="25"/>
          <w:rFonts w:hint="eastAsia" w:cs="Times New Roman"/>
          <w:lang w:eastAsia="zh-CN"/>
        </w:rPr>
        <w:t>山东省人民政府</w:t>
      </w:r>
    </w:p>
    <w:p>
      <w:pPr>
        <w:pStyle w:val="2"/>
        <w:bidi w:val="0"/>
        <w:rPr>
          <w:rStyle w:val="25"/>
          <w:rFonts w:hint="eastAsia" w:cs="Times New Roman"/>
          <w:lang w:eastAsia="zh-CN"/>
        </w:rPr>
      </w:pPr>
      <w:r>
        <w:rPr>
          <w:rStyle w:val="25"/>
          <w:rFonts w:hint="eastAsia" w:cs="Times New Roman"/>
          <w:lang w:eastAsia="zh-CN"/>
        </w:rPr>
        <w:t>关于印发2022年“稳中求进”高质量发展</w:t>
      </w:r>
    </w:p>
    <w:p>
      <w:pPr>
        <w:pStyle w:val="2"/>
        <w:bidi w:val="0"/>
        <w:rPr>
          <w:rStyle w:val="25"/>
          <w:rFonts w:hint="eastAsia" w:cs="Times New Roman"/>
          <w:lang w:eastAsia="zh-CN"/>
        </w:rPr>
      </w:pPr>
      <w:r>
        <w:rPr>
          <w:rStyle w:val="25"/>
          <w:rFonts w:hint="eastAsia" w:cs="Times New Roman"/>
          <w:lang w:eastAsia="zh-CN"/>
        </w:rPr>
        <w:t>政策清单（第一批）的通知</w:t>
      </w:r>
      <w:bookmarkEnd w:id="397"/>
    </w:p>
    <w:p>
      <w:pPr>
        <w:bidi w:val="0"/>
      </w:pPr>
    </w:p>
    <w:p>
      <w:pPr>
        <w:bidi w:val="0"/>
        <w:rPr>
          <w:rFonts w:hint="default"/>
        </w:rPr>
      </w:pPr>
      <w:r>
        <w:rPr>
          <w:rFonts w:hint="eastAsia"/>
        </w:rPr>
        <w:t>为深入贯彻中央经济工作会议精神，推动“三个走在前”，聚焦聚力“稳中求进”高质量发展，进一步强化跨周期调节和政策统筹衔接，省委、省政府研究确定了2022年“稳中求进”高质量发展政策清单（第一批），包括《2021年政策包分类执行清单》和《2022年起实施的新政策清单》两部分内容</w:t>
      </w:r>
      <w:r>
        <w:rPr>
          <w:rFonts w:hint="default"/>
        </w:rPr>
        <w:t>。</w:t>
      </w:r>
    </w:p>
    <w:p>
      <w:pPr>
        <w:pStyle w:val="26"/>
        <w:bidi w:val="0"/>
        <w:rPr>
          <w:rFonts w:hint="default"/>
        </w:rPr>
      </w:pPr>
      <w:r>
        <w:rPr>
          <w:rFonts w:hint="default"/>
        </w:rPr>
        <w:drawing>
          <wp:inline distT="0" distB="0" distL="114300" distR="114300">
            <wp:extent cx="1080135" cy="1080135"/>
            <wp:effectExtent l="0" t="0" r="5715" b="5715"/>
            <wp:docPr id="22" name="图片 22" descr="政策清单（第一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政策清单（第一批）"/>
                    <pic:cNvPicPr>
                      <a:picLocks noChangeAspect="1"/>
                    </pic:cNvPicPr>
                  </pic:nvPicPr>
                  <pic:blipFill>
                    <a:blip r:embed="rId61"/>
                    <a:stretch>
                      <a:fillRect/>
                    </a:stretch>
                  </pic:blipFill>
                  <pic:spPr>
                    <a:xfrm>
                      <a:off x="0" y="0"/>
                      <a:ext cx="1080135" cy="1080135"/>
                    </a:xfrm>
                    <a:prstGeom prst="rect">
                      <a:avLst/>
                    </a:prstGeom>
                  </pic:spPr>
                </pic:pic>
              </a:graphicData>
            </a:graphic>
          </wp:inline>
        </w:drawing>
      </w:r>
    </w:p>
    <w:p>
      <w:pPr>
        <w:pStyle w:val="27"/>
        <w:bidi w:val="0"/>
      </w:pPr>
      <w:r>
        <w:t>扫码查看政策：</w:t>
      </w:r>
      <w:r>
        <w:rPr>
          <w:rFonts w:hint="eastAsia"/>
        </w:rPr>
        <w:t>政策清单（第一批）</w:t>
      </w:r>
    </w:p>
    <w:p>
      <w:pPr>
        <w:rPr>
          <w:rFonts w:hint="eastAsia"/>
          <w:lang w:eastAsia="zh-CN"/>
        </w:rPr>
      </w:pPr>
      <w:r>
        <w:rPr>
          <w:rFonts w:hint="eastAsia"/>
          <w:lang w:eastAsia="zh-CN"/>
        </w:rPr>
        <w:br w:type="page"/>
      </w:r>
    </w:p>
    <w:p>
      <w:pPr>
        <w:pStyle w:val="2"/>
        <w:bidi w:val="0"/>
        <w:rPr>
          <w:rStyle w:val="25"/>
          <w:rFonts w:hint="eastAsia" w:cs="Times New Roman"/>
          <w:lang w:eastAsia="zh-CN"/>
        </w:rPr>
      </w:pPr>
      <w:bookmarkStart w:id="398" w:name="_Toc1883411696"/>
      <w:r>
        <w:rPr>
          <w:rStyle w:val="25"/>
          <w:rFonts w:hint="eastAsia" w:cs="Times New Roman"/>
          <w:lang w:eastAsia="zh-CN"/>
        </w:rPr>
        <w:t>山东省人民政府</w:t>
      </w:r>
    </w:p>
    <w:p>
      <w:pPr>
        <w:pStyle w:val="2"/>
        <w:bidi w:val="0"/>
        <w:rPr>
          <w:rStyle w:val="25"/>
          <w:rFonts w:hint="eastAsia" w:cs="Times New Roman"/>
          <w:lang w:eastAsia="zh-CN"/>
        </w:rPr>
      </w:pPr>
      <w:r>
        <w:rPr>
          <w:rStyle w:val="25"/>
          <w:rFonts w:hint="eastAsia" w:cs="Times New Roman"/>
          <w:lang w:eastAsia="zh-CN"/>
        </w:rPr>
        <w:t>关于印发2022年“稳中求进”高质量发展</w:t>
      </w:r>
    </w:p>
    <w:p>
      <w:pPr>
        <w:pStyle w:val="2"/>
        <w:bidi w:val="0"/>
        <w:rPr>
          <w:rStyle w:val="25"/>
          <w:rFonts w:hint="eastAsia" w:cs="Times New Roman"/>
          <w:lang w:eastAsia="zh-CN"/>
        </w:rPr>
      </w:pPr>
      <w:r>
        <w:rPr>
          <w:rStyle w:val="25"/>
          <w:rFonts w:hint="eastAsia" w:cs="Times New Roman"/>
          <w:lang w:eastAsia="zh-CN"/>
        </w:rPr>
        <w:t>政策清单（第</w:t>
      </w:r>
      <w:r>
        <w:rPr>
          <w:rStyle w:val="25"/>
          <w:rFonts w:hint="default" w:cs="Times New Roman"/>
          <w:lang w:eastAsia="zh-CN"/>
        </w:rPr>
        <w:t>二</w:t>
      </w:r>
      <w:r>
        <w:rPr>
          <w:rStyle w:val="25"/>
          <w:rFonts w:hint="eastAsia" w:cs="Times New Roman"/>
          <w:lang w:eastAsia="zh-CN"/>
        </w:rPr>
        <w:t>批）的通知</w:t>
      </w:r>
      <w:bookmarkEnd w:id="398"/>
    </w:p>
    <w:p>
      <w:pPr>
        <w:bidi w:val="0"/>
      </w:pPr>
    </w:p>
    <w:p>
      <w:pPr>
        <w:bidi w:val="0"/>
        <w:rPr>
          <w:rFonts w:hint="default"/>
        </w:rPr>
      </w:pPr>
      <w:r>
        <w:rPr>
          <w:rFonts w:hint="eastAsia"/>
        </w:rPr>
        <w:t>为贯彻落实习近平总书记对山东工作的重要指示要求，紧紧锚定“走在前列、全面开创”“三个走在前”总遵循、总定位、总航标，聚焦聚力“稳中求进”高质量发展，落实“三个十大”行动计划，省委、省政府研究确定了《2022年“稳中求进”高质量发展政策清单（第二批）》</w:t>
      </w:r>
      <w:r>
        <w:rPr>
          <w:rFonts w:hint="default"/>
        </w:rPr>
        <w:t>。</w:t>
      </w:r>
    </w:p>
    <w:p>
      <w:pPr>
        <w:pStyle w:val="26"/>
        <w:bidi w:val="0"/>
        <w:rPr>
          <w:rFonts w:hint="default"/>
        </w:rPr>
      </w:pPr>
      <w:r>
        <w:rPr>
          <w:rFonts w:hint="default"/>
        </w:rPr>
        <w:drawing>
          <wp:inline distT="0" distB="0" distL="114300" distR="114300">
            <wp:extent cx="1080135" cy="1080135"/>
            <wp:effectExtent l="0" t="0" r="5715" b="5715"/>
            <wp:docPr id="42" name="图片 42" descr="政策清单（第二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政策清单（第二批）"/>
                    <pic:cNvPicPr>
                      <a:picLocks noChangeAspect="1"/>
                    </pic:cNvPicPr>
                  </pic:nvPicPr>
                  <pic:blipFill>
                    <a:blip r:embed="rId62"/>
                    <a:stretch>
                      <a:fillRect/>
                    </a:stretch>
                  </pic:blipFill>
                  <pic:spPr>
                    <a:xfrm>
                      <a:off x="0" y="0"/>
                      <a:ext cx="1080135" cy="1080135"/>
                    </a:xfrm>
                    <a:prstGeom prst="rect">
                      <a:avLst/>
                    </a:prstGeom>
                  </pic:spPr>
                </pic:pic>
              </a:graphicData>
            </a:graphic>
          </wp:inline>
        </w:drawing>
      </w:r>
    </w:p>
    <w:p>
      <w:pPr>
        <w:pStyle w:val="27"/>
        <w:bidi w:val="0"/>
      </w:pPr>
      <w:r>
        <w:t>扫码查看政策：</w:t>
      </w:r>
      <w:r>
        <w:rPr>
          <w:rFonts w:hint="eastAsia"/>
        </w:rPr>
        <w:t>政策清单（第</w:t>
      </w:r>
      <w:r>
        <w:rPr>
          <w:rFonts w:hint="default"/>
        </w:rPr>
        <w:t>二</w:t>
      </w:r>
      <w:r>
        <w:rPr>
          <w:rFonts w:hint="eastAsia"/>
        </w:rPr>
        <w:t>批）</w:t>
      </w:r>
    </w:p>
    <w:p>
      <w:pPr>
        <w:bidi w:val="0"/>
        <w:rPr>
          <w:rFonts w:hint="eastAsia"/>
          <w:lang w:eastAsia="zh-CN"/>
        </w:rPr>
      </w:pPr>
    </w:p>
    <w:sectPr>
      <w:footerReference r:id="rId7" w:type="default"/>
      <w:pgSz w:w="8392" w:h="11850"/>
      <w:pgMar w:top="1361" w:right="1134" w:bottom="1361" w:left="1134" w:header="964" w:footer="964" w:gutter="0"/>
      <w:pgNumType w:fmt="decimal" w:start="1"/>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BFCOAG+X2F33D465">
    <w:altName w:val="Arial"/>
    <w:panose1 w:val="00000000000000000000"/>
    <w:charset w:val="00"/>
    <w:family w:val="moder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right" w:pos="8958"/>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keepNext w:val="0"/>
                            <w:keepLines w:val="0"/>
                            <w:pageBreakBefore w:val="0"/>
                            <w:widowControl w:val="0"/>
                            <w:kinsoku/>
                            <w:wordWrap/>
                            <w:overflowPunct/>
                            <w:topLinePunct w:val="0"/>
                            <w:autoSpaceDE/>
                            <w:autoSpaceDN/>
                            <w:bidi w:val="0"/>
                            <w:adjustRightInd/>
                            <w:snapToGrid w:val="0"/>
                            <w:spacing w:line="240" w:lineRule="auto"/>
                            <w:ind w:left="280" w:leftChars="100" w:right="280" w:rightChars="100" w:firstLine="0" w:firstLineChars="0"/>
                            <w:textAlignment w:val="auto"/>
                            <w:rPr>
                              <w:rFonts w:hint="eastAsia" w:ascii="仿宋_GB2312" w:hAnsi="仿宋_GB2312" w:eastAsia="仿宋_GB2312" w:cs="仿宋_GB2312"/>
                              <w:sz w:val="24"/>
                              <w:szCs w:val="24"/>
                            </w:rPr>
                          </w:pPr>
                          <w:r>
                            <w:rPr>
                              <w:rFonts w:hint="eastAsia" w:ascii="仿宋_GB2312" w:hAnsi="仿宋_GB2312" w:cs="仿宋_GB2312"/>
                              <w:sz w:val="24"/>
                              <w:szCs w:val="24"/>
                            </w:rPr>
                            <w:t xml:space="preserve">— </w:t>
                          </w:r>
                          <w:r>
                            <w:rPr>
                              <w:rFonts w:hint="eastAsia" w:ascii="仿宋_GB2312" w:hAnsi="仿宋_GB2312" w:cs="仿宋_GB2312"/>
                              <w:sz w:val="24"/>
                              <w:szCs w:val="24"/>
                            </w:rPr>
                            <w:fldChar w:fldCharType="begin"/>
                          </w:r>
                          <w:r>
                            <w:rPr>
                              <w:rFonts w:hint="eastAsia" w:ascii="仿宋_GB2312" w:hAnsi="仿宋_GB2312" w:cs="仿宋_GB2312"/>
                              <w:sz w:val="24"/>
                              <w:szCs w:val="24"/>
                            </w:rPr>
                            <w:instrText xml:space="preserve"> PAGE  \* MERGEFORMAT </w:instrText>
                          </w:r>
                          <w:r>
                            <w:rPr>
                              <w:rFonts w:hint="eastAsia" w:ascii="仿宋_GB2312" w:hAnsi="仿宋_GB2312" w:cs="仿宋_GB2312"/>
                              <w:sz w:val="24"/>
                              <w:szCs w:val="24"/>
                            </w:rPr>
                            <w:fldChar w:fldCharType="separate"/>
                          </w:r>
                          <w:r>
                            <w:rPr>
                              <w:rFonts w:hint="eastAsia" w:ascii="仿宋_GB2312" w:hAnsi="仿宋_GB2312" w:cs="仿宋_GB2312"/>
                              <w:sz w:val="24"/>
                              <w:szCs w:val="24"/>
                            </w:rPr>
                            <w:t>1</w:t>
                          </w:r>
                          <w:r>
                            <w:rPr>
                              <w:rFonts w:hint="eastAsia" w:ascii="仿宋_GB2312" w:hAnsi="仿宋_GB2312" w:cs="仿宋_GB2312"/>
                              <w:sz w:val="24"/>
                              <w:szCs w:val="24"/>
                            </w:rPr>
                            <w:fldChar w:fldCharType="end"/>
                          </w:r>
                          <w:r>
                            <w:rPr>
                              <w:rFonts w:hint="eastAsia" w:ascii="仿宋_GB2312" w:hAnsi="仿宋_GB2312" w:cs="仿宋_GB2312"/>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KJQzAgAAY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WFKJQzAgAAYwQAAA4AAAAAAAAAAQAgAAAAHwEAAGRycy9lMm9Eb2MueG1sUEsF&#10;BgAAAAAGAAYAWQEAAMQFAAAAAA==&#10;">
              <v:fill on="f" focussize="0,0"/>
              <v:stroke on="f" weight="0.5pt"/>
              <v:imagedata o:title=""/>
              <o:lock v:ext="edit" aspectratio="f"/>
              <v:textbox inset="0mm,0mm,0mm,0mm" style="mso-fit-shape-to-text:t;">
                <w:txbxContent>
                  <w:p>
                    <w:pPr>
                      <w:pStyle w:val="9"/>
                      <w:keepNext w:val="0"/>
                      <w:keepLines w:val="0"/>
                      <w:pageBreakBefore w:val="0"/>
                      <w:widowControl w:val="0"/>
                      <w:kinsoku/>
                      <w:wordWrap/>
                      <w:overflowPunct/>
                      <w:topLinePunct w:val="0"/>
                      <w:autoSpaceDE/>
                      <w:autoSpaceDN/>
                      <w:bidi w:val="0"/>
                      <w:adjustRightInd/>
                      <w:snapToGrid w:val="0"/>
                      <w:spacing w:line="240" w:lineRule="auto"/>
                      <w:ind w:left="280" w:leftChars="100" w:right="280" w:rightChars="100" w:firstLine="0" w:firstLineChars="0"/>
                      <w:textAlignment w:val="auto"/>
                      <w:rPr>
                        <w:rFonts w:hint="eastAsia" w:ascii="仿宋_GB2312" w:hAnsi="仿宋_GB2312" w:eastAsia="仿宋_GB2312" w:cs="仿宋_GB2312"/>
                        <w:sz w:val="24"/>
                        <w:szCs w:val="24"/>
                      </w:rPr>
                    </w:pPr>
                    <w:r>
                      <w:rPr>
                        <w:rFonts w:hint="eastAsia" w:ascii="仿宋_GB2312" w:hAnsi="仿宋_GB2312" w:cs="仿宋_GB2312"/>
                        <w:sz w:val="24"/>
                        <w:szCs w:val="24"/>
                      </w:rPr>
                      <w:t xml:space="preserve">— </w:t>
                    </w:r>
                    <w:r>
                      <w:rPr>
                        <w:rFonts w:hint="eastAsia" w:ascii="仿宋_GB2312" w:hAnsi="仿宋_GB2312" w:cs="仿宋_GB2312"/>
                        <w:sz w:val="24"/>
                        <w:szCs w:val="24"/>
                      </w:rPr>
                      <w:fldChar w:fldCharType="begin"/>
                    </w:r>
                    <w:r>
                      <w:rPr>
                        <w:rFonts w:hint="eastAsia" w:ascii="仿宋_GB2312" w:hAnsi="仿宋_GB2312" w:cs="仿宋_GB2312"/>
                        <w:sz w:val="24"/>
                        <w:szCs w:val="24"/>
                      </w:rPr>
                      <w:instrText xml:space="preserve"> PAGE  \* MERGEFORMAT </w:instrText>
                    </w:r>
                    <w:r>
                      <w:rPr>
                        <w:rFonts w:hint="eastAsia" w:ascii="仿宋_GB2312" w:hAnsi="仿宋_GB2312" w:cs="仿宋_GB2312"/>
                        <w:sz w:val="24"/>
                        <w:szCs w:val="24"/>
                      </w:rPr>
                      <w:fldChar w:fldCharType="separate"/>
                    </w:r>
                    <w:r>
                      <w:rPr>
                        <w:rFonts w:hint="eastAsia" w:ascii="仿宋_GB2312" w:hAnsi="仿宋_GB2312" w:cs="仿宋_GB2312"/>
                        <w:sz w:val="24"/>
                        <w:szCs w:val="24"/>
                      </w:rPr>
                      <w:t>1</w:t>
                    </w:r>
                    <w:r>
                      <w:rPr>
                        <w:rFonts w:hint="eastAsia" w:ascii="仿宋_GB2312" w:hAnsi="仿宋_GB2312" w:cs="仿宋_GB2312"/>
                        <w:sz w:val="24"/>
                        <w:szCs w:val="24"/>
                      </w:rPr>
                      <w:fldChar w:fldCharType="end"/>
                    </w:r>
                    <w:r>
                      <w:rPr>
                        <w:rFonts w:hint="eastAsia" w:ascii="仿宋_GB2312" w:hAnsi="仿宋_GB2312" w:cs="仿宋_GB2312"/>
                        <w:sz w:val="24"/>
                        <w:szCs w:val="24"/>
                      </w:rPr>
                      <w:t xml:space="preserve"> —</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ascii="宋体" w:hAnsi="宋体" w:cs="宋体"/>
                              <w:sz w:val="24"/>
                              <w:szCs w:val="40"/>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Dk/yMoBAACb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fmaEsctTvzy/dvlx6/Lz68E&#10;fdigPkCNeXcBM9Pw1g+4NrMf0Jl1Dyra/EVFBOPY3vO1vXJIRORH69V6XWFIYGy+ID57eB4ipHfS&#10;W5KNhkacX2krP32ANKbOKbma87famDJD4/5yIGb2sMx95JitNOyHSdDet2fU0+PoG+pw0ykx7x12&#10;Nm/JbMTZ2M/GMUR96JDasvCC8OaYkEThliuMsFNhnFlRN+1XXoo/7yXr4Z/a/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vDk/yMoBAACbAwAADgAAAAAAAAABACAAAAAeAQAAZHJzL2Uyb0Rv&#10;Yy54bWxQSwUGAAAAAAYABgBZAQAAWgUAAAAA&#10;">
              <v:fill on="f" focussize="0,0"/>
              <v:stroke on="f"/>
              <v:imagedata o:title=""/>
              <o:lock v:ext="edit" aspectratio="f"/>
              <v:textbox inset="0mm,0mm,0mm,0mm" style="mso-fit-shape-to-text:t;">
                <w:txbxContent>
                  <w:p>
                    <w:pPr>
                      <w:pStyle w:val="9"/>
                      <w:rPr>
                        <w:rFonts w:ascii="宋体" w:hAnsi="宋体" w:cs="宋体"/>
                        <w:sz w:val="24"/>
                        <w:szCs w:val="40"/>
                      </w:r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asciiTheme="minorEastAsia" w:hAnsiTheme="minorEastAsia" w:eastAsiaTheme="minorEastAsia" w:cstheme="minorEastAsia"/>
                              <w:sz w:val="24"/>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htoqMoBAACbAwAADgAAAGRycy9lMm9Eb2MueG1srVPNjtMwEL4j8Q6W&#10;79RpJ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c4d8ctTvzy/dvlx6/Lz68E&#10;fdigPkCNeQ8BM9Nw5wdcm9kP6My6BxVt/qIignFs7/naXjkkIvKj9Wq9rjAkMDZfEJ89Pg8R0lvp&#10;LclGQyPOr7SVn95DGlPnlFzN+XttTJmhcX85EDN7WOY+csxWGvbDJGjv2zPq6XH0DXW46ZSYdw47&#10;m7dkNuJs7GfjGKI+dEhtWXhBuD0mJFG45Qoj7FQYZ1bUTfuVl+LPe8l6/Ke2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htoqMoBAACbAwAADgAAAAAAAAABACAAAAAeAQAAZHJzL2Uyb0Rv&#10;Yy54bWxQSwUGAAAAAAYABgBZAQAAWgUAAAAA&#10;">
              <v:fill on="f" focussize="0,0"/>
              <v:stroke on="f"/>
              <v:imagedata o:title=""/>
              <o:lock v:ext="edit" aspectratio="f"/>
              <v:textbox inset="0mm,0mm,0mm,0mm" style="mso-fit-shape-to-text:t;">
                <w:txbxContent>
                  <w:p>
                    <w:pPr>
                      <w:pStyle w:val="9"/>
                      <w:rPr>
                        <w:rFonts w:asciiTheme="minorEastAsia" w:hAnsiTheme="minorEastAsia" w:eastAsiaTheme="minorEastAsia" w:cstheme="minorEastAsia"/>
                        <w:sz w:val="24"/>
                      </w:rPr>
                    </w:pPr>
                  </w:p>
                </w:txbxContent>
              </v:textbox>
            </v:shape>
          </w:pict>
        </mc:Fallback>
      </mc:AlternateContent>
    </w:r>
    <w:r>
      <w:rPr>
        <w:rFonts w:hint="eastAsia"/>
      </w:rPr>
      <w:tab/>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right" w:pos="8958"/>
        <w:tab w:val="clear" w:pos="4153"/>
      </w:tabs>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ascii="宋体" w:hAnsi="宋体" w:cs="宋体"/>
                              <w:sz w:val="24"/>
                              <w:szCs w:val="40"/>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tLOIiyQEAAJsDAAAOAAAAAAAAAAEAIAAAAB4BAABkcnMvZTJvRG9j&#10;LnhtbFBLBQYAAAAABgAGAFkBAABZBQAAAAA=&#10;">
              <v:fill on="f" focussize="0,0"/>
              <v:stroke on="f"/>
              <v:imagedata o:title=""/>
              <o:lock v:ext="edit" aspectratio="f"/>
              <v:textbox inset="0mm,0mm,0mm,0mm" style="mso-fit-shape-to-text:t;">
                <w:txbxContent>
                  <w:p>
                    <w:pPr>
                      <w:pStyle w:val="9"/>
                      <w:rPr>
                        <w:rFonts w:ascii="宋体" w:hAnsi="宋体" w:cs="宋体"/>
                        <w:sz w:val="24"/>
                        <w:szCs w:val="40"/>
                      </w:rPr>
                    </w:pP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asciiTheme="minorEastAsia" w:hAnsiTheme="minorEastAsia" w:eastAsiaTheme="minorEastAsia" w:cstheme="minorEastAsia"/>
                              <w:sz w:val="24"/>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BU8n88oBAACbAwAADgAAAAAAAAABACAAAAAeAQAAZHJzL2Uyb0Rv&#10;Yy54bWxQSwUGAAAAAAYABgBZAQAAWgUAAAAA&#10;">
              <v:fill on="f" focussize="0,0"/>
              <v:stroke on="f"/>
              <v:imagedata o:title=""/>
              <o:lock v:ext="edit" aspectratio="f"/>
              <v:textbox inset="0mm,0mm,0mm,0mm" style="mso-fit-shape-to-text:t;">
                <w:txbxContent>
                  <w:p>
                    <w:pPr>
                      <w:pStyle w:val="9"/>
                      <w:rPr>
                        <w:rFonts w:asciiTheme="minorEastAsia" w:hAnsiTheme="minorEastAsia" w:eastAsiaTheme="minorEastAsia" w:cstheme="minorEastAsia"/>
                        <w:sz w:val="24"/>
                      </w:rPr>
                    </w:pPr>
                  </w:p>
                </w:txbxContent>
              </v:textbox>
            </v:shape>
          </w:pict>
        </mc:Fallback>
      </mc:AlternateContent>
    </w:r>
    <w:r>
      <w:rPr>
        <w:rFonts w:hint="eastAsia"/>
      </w:rPr>
      <w:tab/>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right" w:pos="8958"/>
        <w:tab w:val="clear" w:pos="4153"/>
      </w:tabs>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bidi w:val="0"/>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EyFQwzAgAAYw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TdTSjRTqPjlx/fL&#10;z4fLr28EZxCotn6OuJ1FZGjemQZtM5x7HEbeTeFU/IIRgR/ynq/yiiYQHi/NJrNZCheHb9gAP3m8&#10;bp0P74VRJBoZdahfKys7bX3oQoeQmE2bTSVlW0OpSZ3R6eu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EyFQwzAgAAYwQAAA4AAAAAAAAAAQAgAAAAHwEAAGRycy9lMm9Eb2MueG1sUEsF&#10;BgAAAAAGAAYAWQEAAMQFAAAAAA==&#10;">
              <v:fill on="f" focussize="0,0"/>
              <v:stroke on="f" weight="0.5pt"/>
              <v:imagedata o:title=""/>
              <o:lock v:ext="edit" aspectratio="f"/>
              <v:textbox inset="0mm,0mm,0mm,0mm" style="mso-fit-shape-to-text:t;">
                <w:txbxContent>
                  <w:p>
                    <w:pPr>
                      <w:pStyle w:val="9"/>
                      <w:bidi w:val="0"/>
                      <w:rPr>
                        <w:rFonts w:hint="eastAsia"/>
                      </w:rPr>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I7ci8oBAACbAwAADgAAAAAAAAABACAAAAAeAQAAZHJzL2Uyb0Rv&#10;Yy54bWxQSwUGAAAAAAYABgBZAQAAWgUAAAAA&#10;">
              <v:fill on="f" focussize="0,0"/>
              <v:stroke on="f"/>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asciiTheme="minorEastAsia" w:hAnsiTheme="minorEastAsia" w:eastAsiaTheme="minorEastAsia" w:cstheme="minorEastAsia"/>
                              <w:sz w:val="24"/>
                            </w:rPr>
                          </w:pP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j64V08oBAACbAwAADgAAAAAAAAABACAAAAAeAQAAZHJzL2Uyb0Rv&#10;Yy54bWxQSwUGAAAAAAYABgBZAQAAWgUAAAAA&#10;">
              <v:fill on="f" focussize="0,0"/>
              <v:stroke on="f"/>
              <v:imagedata o:title=""/>
              <o:lock v:ext="edit" aspectratio="f"/>
              <v:textbox inset="0mm,0mm,0mm,0mm" style="mso-fit-shape-to-text:t;">
                <w:txbxContent>
                  <w:p>
                    <w:pPr>
                      <w:pStyle w:val="9"/>
                      <w:rPr>
                        <w:rFonts w:asciiTheme="minorEastAsia" w:hAnsiTheme="minorEastAsia" w:eastAsiaTheme="minorEastAsia" w:cstheme="minorEastAsia"/>
                        <w:sz w:val="24"/>
                      </w:rPr>
                    </w:pPr>
                  </w:p>
                </w:txbxContent>
              </v:textbox>
            </v:shape>
          </w:pict>
        </mc:Fallback>
      </mc:AlternateContent>
    </w:r>
    <w:r>
      <w:rPr>
        <w:rFonts w:hint="eastAsia"/>
      </w:rPr>
      <w:tab/>
    </w:r>
    <w:r>
      <w:rPr>
        <w:rFonts w:hint="eastAsia"/>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C5E0E3"/>
    <w:rsid w:val="07FEA64C"/>
    <w:rsid w:val="197B5196"/>
    <w:rsid w:val="197D16B4"/>
    <w:rsid w:val="1DE485F3"/>
    <w:rsid w:val="1FFF526A"/>
    <w:rsid w:val="2AFC9AA4"/>
    <w:rsid w:val="2DFB9D9F"/>
    <w:rsid w:val="33BF3FE6"/>
    <w:rsid w:val="35EE6C2E"/>
    <w:rsid w:val="36EE8B75"/>
    <w:rsid w:val="37EFCB3A"/>
    <w:rsid w:val="392F2E63"/>
    <w:rsid w:val="3BAF8CA5"/>
    <w:rsid w:val="3BFEB5DE"/>
    <w:rsid w:val="3CE570E5"/>
    <w:rsid w:val="3D7C62CF"/>
    <w:rsid w:val="3DFE23F2"/>
    <w:rsid w:val="3DFF2FF8"/>
    <w:rsid w:val="3DFFECC7"/>
    <w:rsid w:val="3EE94A3B"/>
    <w:rsid w:val="3FAD249D"/>
    <w:rsid w:val="3FED01F1"/>
    <w:rsid w:val="3FED5051"/>
    <w:rsid w:val="40B3360A"/>
    <w:rsid w:val="46B213BE"/>
    <w:rsid w:val="49FB7430"/>
    <w:rsid w:val="4C7D378C"/>
    <w:rsid w:val="4FFD57BD"/>
    <w:rsid w:val="55753F6D"/>
    <w:rsid w:val="56EB613B"/>
    <w:rsid w:val="57B78DDA"/>
    <w:rsid w:val="57FFB10E"/>
    <w:rsid w:val="5AE78FDF"/>
    <w:rsid w:val="5B7FAF82"/>
    <w:rsid w:val="5BDB6798"/>
    <w:rsid w:val="5C97471D"/>
    <w:rsid w:val="61A4E3E0"/>
    <w:rsid w:val="637F1AFD"/>
    <w:rsid w:val="65DEA1BF"/>
    <w:rsid w:val="671E34C6"/>
    <w:rsid w:val="6E9D9772"/>
    <w:rsid w:val="6EFF8094"/>
    <w:rsid w:val="6F3D6AE7"/>
    <w:rsid w:val="6F777236"/>
    <w:rsid w:val="6FD69303"/>
    <w:rsid w:val="6FDDF592"/>
    <w:rsid w:val="6FFE1EE7"/>
    <w:rsid w:val="6FFE22D4"/>
    <w:rsid w:val="6FFE9835"/>
    <w:rsid w:val="71B79CCB"/>
    <w:rsid w:val="73BD4C43"/>
    <w:rsid w:val="74FD7595"/>
    <w:rsid w:val="76773677"/>
    <w:rsid w:val="779E2BB4"/>
    <w:rsid w:val="77DF219F"/>
    <w:rsid w:val="7ABEBE86"/>
    <w:rsid w:val="7B39504D"/>
    <w:rsid w:val="7B751D34"/>
    <w:rsid w:val="7BFA0931"/>
    <w:rsid w:val="7CBD56C1"/>
    <w:rsid w:val="7D6F01B9"/>
    <w:rsid w:val="7D7F71C5"/>
    <w:rsid w:val="7DDBA7BA"/>
    <w:rsid w:val="7E9C651D"/>
    <w:rsid w:val="7EEF78D3"/>
    <w:rsid w:val="7EEFFCF2"/>
    <w:rsid w:val="7EFDEF9D"/>
    <w:rsid w:val="7F4D240C"/>
    <w:rsid w:val="7F7B197E"/>
    <w:rsid w:val="7F7FE665"/>
    <w:rsid w:val="7F99B35C"/>
    <w:rsid w:val="7FACCE0C"/>
    <w:rsid w:val="7FB2AFCD"/>
    <w:rsid w:val="7FD63E0D"/>
    <w:rsid w:val="7FDDBC36"/>
    <w:rsid w:val="7FEF45C5"/>
    <w:rsid w:val="7FFDE2D6"/>
    <w:rsid w:val="ABFF543C"/>
    <w:rsid w:val="B3EE07B6"/>
    <w:rsid w:val="B6BDEFDB"/>
    <w:rsid w:val="B8FFA735"/>
    <w:rsid w:val="B9FF6D97"/>
    <w:rsid w:val="BB7FCCFB"/>
    <w:rsid w:val="BD3B0307"/>
    <w:rsid w:val="BDED2325"/>
    <w:rsid w:val="BF36F4E0"/>
    <w:rsid w:val="BF57B060"/>
    <w:rsid w:val="BF6CCBF5"/>
    <w:rsid w:val="BFE37AD8"/>
    <w:rsid w:val="BFFFD5C0"/>
    <w:rsid w:val="C9FB471B"/>
    <w:rsid w:val="CBFC8E09"/>
    <w:rsid w:val="CFABCB04"/>
    <w:rsid w:val="DAFF6C94"/>
    <w:rsid w:val="DF9F11B7"/>
    <w:rsid w:val="DFC5E0E3"/>
    <w:rsid w:val="DFEF6836"/>
    <w:rsid w:val="DFF5C5BF"/>
    <w:rsid w:val="E1FFB4AB"/>
    <w:rsid w:val="E58E0BE8"/>
    <w:rsid w:val="E5F50A83"/>
    <w:rsid w:val="E7AF3442"/>
    <w:rsid w:val="E7F7F9FA"/>
    <w:rsid w:val="E979A516"/>
    <w:rsid w:val="EAF01AD3"/>
    <w:rsid w:val="EBDFF605"/>
    <w:rsid w:val="ED756568"/>
    <w:rsid w:val="EEDF4C1C"/>
    <w:rsid w:val="EEF60FF4"/>
    <w:rsid w:val="F2B3ED2C"/>
    <w:rsid w:val="F3B70426"/>
    <w:rsid w:val="F3EEB2C2"/>
    <w:rsid w:val="F53F2683"/>
    <w:rsid w:val="F5BF7D47"/>
    <w:rsid w:val="F6FFDDAF"/>
    <w:rsid w:val="F7EDD0A9"/>
    <w:rsid w:val="F7F52BFF"/>
    <w:rsid w:val="F7FB5D03"/>
    <w:rsid w:val="F8EF3681"/>
    <w:rsid w:val="F9D35F9A"/>
    <w:rsid w:val="FB748752"/>
    <w:rsid w:val="FB7CA989"/>
    <w:rsid w:val="FBEFF54E"/>
    <w:rsid w:val="FBF7A2F6"/>
    <w:rsid w:val="FC5FD1D5"/>
    <w:rsid w:val="FDBCB3D1"/>
    <w:rsid w:val="FDEA6FCA"/>
    <w:rsid w:val="FDF7142E"/>
    <w:rsid w:val="FDFFE691"/>
    <w:rsid w:val="FE6E1EB6"/>
    <w:rsid w:val="FEA3B6F9"/>
    <w:rsid w:val="FEFB4CA7"/>
    <w:rsid w:val="FEFFE973"/>
    <w:rsid w:val="FF01DD08"/>
    <w:rsid w:val="FF3D0B04"/>
    <w:rsid w:val="FF5DB6CE"/>
    <w:rsid w:val="FF5EE5FE"/>
    <w:rsid w:val="FFA21B0D"/>
    <w:rsid w:val="FFAB97F9"/>
    <w:rsid w:val="FFB31C64"/>
    <w:rsid w:val="FFF0AFAD"/>
    <w:rsid w:val="FFF96CB1"/>
    <w:rsid w:val="FFFEB4ED"/>
    <w:rsid w:val="FFFFD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qFormat="1"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420" w:firstLineChars="200"/>
      <w:jc w:val="both"/>
    </w:pPr>
    <w:rPr>
      <w:rFonts w:ascii="Calibri" w:hAnsi="Calibri" w:eastAsia="仿宋_GB2312" w:cs="Times New Roman"/>
      <w:kern w:val="2"/>
      <w:sz w:val="28"/>
      <w:szCs w:val="24"/>
      <w:lang w:val="en-US" w:eastAsia="zh-CN" w:bidi="ar-SA"/>
    </w:rPr>
  </w:style>
  <w:style w:type="paragraph" w:styleId="2">
    <w:name w:val="heading 1"/>
    <w:next w:val="1"/>
    <w:link w:val="25"/>
    <w:qFormat/>
    <w:uiPriority w:val="0"/>
    <w:pPr>
      <w:keepNext/>
      <w:keepLines/>
      <w:spacing w:beforeLines="0" w:beforeAutospacing="0" w:afterLines="0" w:afterAutospacing="0" w:line="480" w:lineRule="exact"/>
      <w:jc w:val="center"/>
      <w:outlineLvl w:val="0"/>
    </w:pPr>
    <w:rPr>
      <w:rFonts w:ascii="Calibri" w:hAnsi="Calibri" w:eastAsia="方正小标宋简体" w:cstheme="minorBidi"/>
      <w:kern w:val="44"/>
      <w:sz w:val="32"/>
    </w:rPr>
  </w:style>
  <w:style w:type="paragraph" w:styleId="3">
    <w:name w:val="heading 2"/>
    <w:basedOn w:val="1"/>
    <w:next w:val="1"/>
    <w:qFormat/>
    <w:uiPriority w:val="99"/>
    <w:pPr>
      <w:keepNext/>
      <w:keepLines/>
      <w:spacing w:line="413" w:lineRule="auto"/>
      <w:outlineLvl w:val="1"/>
    </w:pPr>
    <w:rPr>
      <w:rFonts w:ascii="Arial" w:hAnsi="Arial" w:eastAsia="黑体"/>
      <w:b/>
      <w:sz w:val="32"/>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E-mail Signature"/>
    <w:next w:val="1"/>
    <w:qFormat/>
    <w:uiPriority w:val="0"/>
    <w:pPr>
      <w:jc w:val="center"/>
    </w:pPr>
    <w:rPr>
      <w:rFonts w:ascii="Calibri" w:hAnsi="Calibri" w:eastAsia="仿宋_GB2312" w:cstheme="minorBidi"/>
      <w:sz w:val="32"/>
    </w:rPr>
  </w:style>
  <w:style w:type="paragraph" w:styleId="6">
    <w:name w:val="Body Text"/>
    <w:basedOn w:val="1"/>
    <w:next w:val="1"/>
    <w:qFormat/>
    <w:uiPriority w:val="99"/>
    <w:pPr>
      <w:spacing w:after="120"/>
    </w:pPr>
  </w:style>
  <w:style w:type="paragraph" w:styleId="7">
    <w:name w:val="Plain Text"/>
    <w:basedOn w:val="1"/>
    <w:qFormat/>
    <w:uiPriority w:val="99"/>
    <w:rPr>
      <w:rFonts w:ascii="宋体" w:hAnsi="Courier New" w:cs="Courier New"/>
      <w:szCs w:val="21"/>
    </w:rPr>
  </w:style>
  <w:style w:type="paragraph" w:styleId="8">
    <w:name w:val="Body Text Indent 2"/>
    <w:basedOn w:val="1"/>
    <w:qFormat/>
    <w:uiPriority w:val="99"/>
    <w:pPr>
      <w:spacing w:before="100" w:beforeAutospacing="1" w:after="120" w:line="480" w:lineRule="auto"/>
      <w:ind w:left="200" w:leftChars="200"/>
    </w:pPr>
    <w:rPr>
      <w:rFonts w:ascii="Times New Roman" w:hAnsi="Times New Roman"/>
      <w:kern w:val="0"/>
      <w:sz w:val="20"/>
      <w:szCs w:val="20"/>
    </w:rPr>
  </w:style>
  <w:style w:type="paragraph" w:styleId="9">
    <w:name w:val="footer"/>
    <w:basedOn w:val="1"/>
    <w:qFormat/>
    <w:uiPriority w:val="99"/>
    <w:pPr>
      <w:tabs>
        <w:tab w:val="center" w:pos="4153"/>
        <w:tab w:val="right" w:pos="8306"/>
      </w:tabs>
      <w:snapToGrid w:val="0"/>
      <w:ind w:left="280" w:leftChars="100" w:right="280" w:rightChars="100" w:firstLine="0" w:firstLineChars="0"/>
      <w:jc w:val="both"/>
    </w:pPr>
    <w:rPr>
      <w:rFonts w:ascii="仿宋_GB2312" w:hAnsi="仿宋_GB2312"/>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Signature"/>
    <w:basedOn w:val="1"/>
    <w:qFormat/>
    <w:uiPriority w:val="0"/>
    <w:pPr>
      <w:ind w:left="100" w:leftChars="2100"/>
    </w:pPr>
  </w:style>
  <w:style w:type="paragraph" w:styleId="12">
    <w:name w:val="toc 1"/>
    <w:next w:val="1"/>
    <w:qFormat/>
    <w:uiPriority w:val="99"/>
    <w:pPr>
      <w:widowControl w:val="0"/>
      <w:spacing w:line="400" w:lineRule="exact"/>
      <w:ind w:firstLine="0"/>
      <w:jc w:val="both"/>
    </w:pPr>
    <w:rPr>
      <w:rFonts w:ascii="仿宋_GB2312" w:hAnsi="仿宋_GB2312" w:eastAsia="黑体" w:cstheme="minorBidi"/>
      <w:color w:val="000000"/>
      <w:sz w:val="21"/>
      <w:szCs w:val="36"/>
    </w:rPr>
  </w:style>
  <w:style w:type="paragraph" w:styleId="13">
    <w:name w:val="HTML Preformatted"/>
    <w:basedOn w:val="1"/>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Lines="0" w:beforeAutospacing="0" w:afterLines="0" w:afterAutospacing="0"/>
      <w:ind w:firstLine="0" w:firstLineChars="0"/>
      <w:jc w:val="center"/>
      <w:outlineLvl w:val="0"/>
    </w:pPr>
    <w:rPr>
      <w:rFonts w:ascii="Arial" w:hAnsi="Arial" w:eastAsia="方正小标宋简体"/>
      <w:sz w:val="52"/>
    </w:rPr>
  </w:style>
  <w:style w:type="character" w:styleId="18">
    <w:name w:val="Strong"/>
    <w:basedOn w:val="17"/>
    <w:qFormat/>
    <w:uiPriority w:val="0"/>
    <w:rPr>
      <w:b/>
    </w:rPr>
  </w:style>
  <w:style w:type="character" w:styleId="19">
    <w:name w:val="Hyperlink"/>
    <w:basedOn w:val="17"/>
    <w:qFormat/>
    <w:uiPriority w:val="0"/>
    <w:rPr>
      <w:rFonts w:ascii="Times New Roman" w:hAnsi="Times New Roman" w:eastAsia="宋体"/>
      <w:color w:val="auto"/>
      <w:u w:val="none"/>
    </w:rPr>
  </w:style>
  <w:style w:type="paragraph" w:customStyle="1" w:styleId="20">
    <w:name w:val="WPSOffice手动目录 1"/>
    <w:qFormat/>
    <w:uiPriority w:val="99"/>
    <w:rPr>
      <w:rFonts w:ascii="Calibri" w:hAnsi="Calibri" w:eastAsia="宋体" w:cs="Times New Roman"/>
      <w:lang w:val="en-US" w:eastAsia="zh-CN" w:bidi="ar-SA"/>
    </w:rPr>
  </w:style>
  <w:style w:type="paragraph" w:customStyle="1" w:styleId="21">
    <w:name w:val="Default"/>
    <w:qFormat/>
    <w:uiPriority w:val="99"/>
    <w:pPr>
      <w:widowControl w:val="0"/>
      <w:autoSpaceDE w:val="0"/>
      <w:autoSpaceDN w:val="0"/>
      <w:adjustRightInd w:val="0"/>
    </w:pPr>
    <w:rPr>
      <w:rFonts w:ascii="BFCOAG+X2F33D465" w:hAnsi="Calibri" w:eastAsia="Times New Roman" w:cs="BFCOAG+X2F33D465"/>
      <w:color w:val="000000"/>
      <w:sz w:val="24"/>
      <w:szCs w:val="24"/>
      <w:lang w:val="en-US" w:eastAsia="zh-CN" w:bidi="ar-SA"/>
    </w:rPr>
  </w:style>
  <w:style w:type="paragraph" w:customStyle="1" w:styleId="22">
    <w:name w:val="正文 New"/>
    <w:qFormat/>
    <w:uiPriority w:val="99"/>
    <w:pPr>
      <w:widowControl w:val="0"/>
      <w:jc w:val="both"/>
    </w:pPr>
    <w:rPr>
      <w:rFonts w:ascii="Times New Roman" w:hAnsi="Times New Roman" w:eastAsia="宋体" w:cs="Times New Roman"/>
      <w:kern w:val="2"/>
      <w:sz w:val="21"/>
      <w:lang w:val="en-US" w:eastAsia="zh-CN" w:bidi="ar-SA"/>
    </w:rPr>
  </w:style>
  <w:style w:type="paragraph" w:customStyle="1" w:styleId="23">
    <w:name w:val="需求正文_0"/>
    <w:basedOn w:val="1"/>
    <w:qFormat/>
    <w:uiPriority w:val="99"/>
    <w:pPr>
      <w:topLinePunct/>
      <w:ind w:firstLine="200"/>
    </w:pPr>
    <w:rPr>
      <w:rFonts w:cs="宋体"/>
      <w:kern w:val="20"/>
      <w:sz w:val="20"/>
    </w:rPr>
  </w:style>
  <w:style w:type="paragraph" w:styleId="24">
    <w:name w:val="List Paragraph"/>
    <w:basedOn w:val="1"/>
    <w:qFormat/>
    <w:uiPriority w:val="99"/>
    <w:pPr>
      <w:ind w:firstLine="420" w:firstLineChars="200"/>
    </w:pPr>
  </w:style>
  <w:style w:type="character" w:customStyle="1" w:styleId="25">
    <w:name w:val="标题 1 Char"/>
    <w:link w:val="2"/>
    <w:qFormat/>
    <w:uiPriority w:val="0"/>
    <w:rPr>
      <w:rFonts w:ascii="Calibri" w:hAnsi="Calibri" w:eastAsia="方正小标宋简体"/>
      <w:kern w:val="44"/>
      <w:sz w:val="32"/>
    </w:rPr>
  </w:style>
  <w:style w:type="paragraph" w:customStyle="1" w:styleId="26">
    <w:name w:val="二维码"/>
    <w:next w:val="1"/>
    <w:qFormat/>
    <w:uiPriority w:val="0"/>
    <w:pPr>
      <w:jc w:val="center"/>
    </w:pPr>
    <w:rPr>
      <w:rFonts w:ascii="Calibri" w:hAnsi="Calibri" w:eastAsia="仿宋_GB2312" w:cstheme="minorBidi"/>
    </w:rPr>
  </w:style>
  <w:style w:type="paragraph" w:customStyle="1" w:styleId="27">
    <w:name w:val="二维码提示"/>
    <w:basedOn w:val="1"/>
    <w:next w:val="1"/>
    <w:qFormat/>
    <w:uiPriority w:val="0"/>
    <w:pPr>
      <w:ind w:firstLine="0" w:firstLineChars="0"/>
      <w:jc w:val="center"/>
    </w:pPr>
    <w:rPr>
      <w:sz w:val="24"/>
    </w:rPr>
  </w:style>
  <w:style w:type="paragraph" w:customStyle="1" w:styleId="28">
    <w:name w:val="qrcode"/>
    <w:qFormat/>
    <w:uiPriority w:val="0"/>
    <w:pPr>
      <w:ind w:firstLine="0"/>
      <w:jc w:val="center"/>
    </w:pPr>
    <w:rPr>
      <w:rFonts w:ascii="仿宋" w:hAnsi="仿宋" w:eastAsia="仿宋" w:cs="仿宋"/>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4" Type="http://schemas.openxmlformats.org/officeDocument/2006/relationships/fontTable" Target="fontTable.xml"/><Relationship Id="rId63" Type="http://schemas.openxmlformats.org/officeDocument/2006/relationships/customXml" Target="../customXml/item1.xml"/><Relationship Id="rId62" Type="http://schemas.openxmlformats.org/officeDocument/2006/relationships/image" Target="media/image54.png"/><Relationship Id="rId61" Type="http://schemas.openxmlformats.org/officeDocument/2006/relationships/image" Target="media/image53.png"/><Relationship Id="rId60" Type="http://schemas.openxmlformats.org/officeDocument/2006/relationships/image" Target="media/image52.png"/><Relationship Id="rId6" Type="http://schemas.openxmlformats.org/officeDocument/2006/relationships/footer" Target="footer2.xml"/><Relationship Id="rId59" Type="http://schemas.openxmlformats.org/officeDocument/2006/relationships/image" Target="media/image51.png"/><Relationship Id="rId58" Type="http://schemas.openxmlformats.org/officeDocument/2006/relationships/image" Target="media/image50.png"/><Relationship Id="rId57" Type="http://schemas.openxmlformats.org/officeDocument/2006/relationships/image" Target="media/image49.png"/><Relationship Id="rId56" Type="http://schemas.openxmlformats.org/officeDocument/2006/relationships/image" Target="media/image48.png"/><Relationship Id="rId55" Type="http://schemas.openxmlformats.org/officeDocument/2006/relationships/image" Target="media/image47.png"/><Relationship Id="rId54" Type="http://schemas.openxmlformats.org/officeDocument/2006/relationships/image" Target="media/image46.png"/><Relationship Id="rId53" Type="http://schemas.openxmlformats.org/officeDocument/2006/relationships/image" Target="media/image45.png"/><Relationship Id="rId52" Type="http://schemas.openxmlformats.org/officeDocument/2006/relationships/image" Target="media/image44.png"/><Relationship Id="rId51" Type="http://schemas.openxmlformats.org/officeDocument/2006/relationships/image" Target="media/image43.png"/><Relationship Id="rId50" Type="http://schemas.openxmlformats.org/officeDocument/2006/relationships/image" Target="media/image42.png"/><Relationship Id="rId5" Type="http://schemas.openxmlformats.org/officeDocument/2006/relationships/footer" Target="footer1.xml"/><Relationship Id="rId49" Type="http://schemas.openxmlformats.org/officeDocument/2006/relationships/image" Target="media/image41.png"/><Relationship Id="rId48" Type="http://schemas.openxmlformats.org/officeDocument/2006/relationships/image" Target="media/image40.png"/><Relationship Id="rId47" Type="http://schemas.openxmlformats.org/officeDocument/2006/relationships/image" Target="media/image39.png"/><Relationship Id="rId46" Type="http://schemas.openxmlformats.org/officeDocument/2006/relationships/image" Target="media/image38.png"/><Relationship Id="rId45" Type="http://schemas.openxmlformats.org/officeDocument/2006/relationships/image" Target="media/image37.png"/><Relationship Id="rId44" Type="http://schemas.openxmlformats.org/officeDocument/2006/relationships/image" Target="media/image36.png"/><Relationship Id="rId43" Type="http://schemas.openxmlformats.org/officeDocument/2006/relationships/image" Target="media/image35.png"/><Relationship Id="rId42" Type="http://schemas.openxmlformats.org/officeDocument/2006/relationships/image" Target="media/image34.png"/><Relationship Id="rId41" Type="http://schemas.openxmlformats.org/officeDocument/2006/relationships/image" Target="media/image33.png"/><Relationship Id="rId40" Type="http://schemas.openxmlformats.org/officeDocument/2006/relationships/image" Target="media/image32.png"/><Relationship Id="rId4" Type="http://schemas.openxmlformats.org/officeDocument/2006/relationships/endnotes" Target="endnotes.xml"/><Relationship Id="rId39" Type="http://schemas.openxmlformats.org/officeDocument/2006/relationships/image" Target="media/image31.png"/><Relationship Id="rId38" Type="http://schemas.openxmlformats.org/officeDocument/2006/relationships/image" Target="media/image30.png"/><Relationship Id="rId37" Type="http://schemas.openxmlformats.org/officeDocument/2006/relationships/image" Target="media/image29.png"/><Relationship Id="rId36" Type="http://schemas.openxmlformats.org/officeDocument/2006/relationships/image" Target="media/image28.png"/><Relationship Id="rId35" Type="http://schemas.openxmlformats.org/officeDocument/2006/relationships/image" Target="media/image27.png"/><Relationship Id="rId34" Type="http://schemas.openxmlformats.org/officeDocument/2006/relationships/image" Target="media/image26.png"/><Relationship Id="rId33" Type="http://schemas.openxmlformats.org/officeDocument/2006/relationships/image" Target="media/image25.png"/><Relationship Id="rId32" Type="http://schemas.openxmlformats.org/officeDocument/2006/relationships/image" Target="media/image24.png"/><Relationship Id="rId31" Type="http://schemas.openxmlformats.org/officeDocument/2006/relationships/image" Target="media/image23.png"/><Relationship Id="rId30" Type="http://schemas.openxmlformats.org/officeDocument/2006/relationships/image" Target="media/image22.png"/><Relationship Id="rId3" Type="http://schemas.openxmlformats.org/officeDocument/2006/relationships/footnotes" Target="footnotes.xml"/><Relationship Id="rId29" Type="http://schemas.openxmlformats.org/officeDocument/2006/relationships/image" Target="media/image21.png"/><Relationship Id="rId28" Type="http://schemas.openxmlformats.org/officeDocument/2006/relationships/image" Target="media/image20.png"/><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11617</Words>
  <Characters>11979</Characters>
  <Lines>0</Lines>
  <Paragraphs>0</Paragraphs>
  <TotalTime>8</TotalTime>
  <ScaleCrop>false</ScaleCrop>
  <LinksUpToDate>false</LinksUpToDate>
  <CharactersWithSpaces>12050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2022-03-01T17:42:00Z</dcterms:created>
  <dc:creator>王金立</dc:creator>
  <cp:lastModifiedBy>周广庆</cp:lastModifiedBy>
  <cp:lastPrinted>2022-03-01T19:10:00Z</cp:lastPrinted>
  <dcterms:modified xsi:type="dcterms:W3CDTF">2022-04-15T09:27:31Z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C09B623E679B48BCBE7C784BF10E8367</vt:lpwstr>
  </property>
</Properties>
</file>