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cs="Times New Roman"/>
          <w:sz w:val="32"/>
          <w:szCs w:val="28"/>
        </w:rPr>
      </w:pPr>
      <w:bookmarkStart w:id="0" w:name="_GoBack"/>
      <w:bookmarkEnd w:id="0"/>
      <w:r>
        <w:rPr>
          <w:rFonts w:hint="eastAsia" w:ascii="黑体" w:hAnsi="黑体" w:eastAsia="黑体" w:cs="Times New Roman"/>
          <w:sz w:val="32"/>
          <w:szCs w:val="28"/>
        </w:rPr>
        <w:t>附件2</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黑体" w:eastAsia="方正小标宋简体" w:cs="Times New Roman"/>
          <w:sz w:val="44"/>
          <w:szCs w:val="44"/>
        </w:rPr>
      </w:pPr>
      <w:r>
        <w:rPr>
          <w:rFonts w:hint="eastAsia" w:ascii="方正小标宋简体" w:hAnsi="黑体" w:eastAsia="方正小标宋简体" w:cs="Times New Roman"/>
          <w:sz w:val="44"/>
          <w:szCs w:val="44"/>
        </w:rPr>
        <w:t>滕州市职业教育提质培优高质量发展三年行动计划（2020—2022年）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黑体" w:hAnsi="黑体" w:eastAsia="黑体" w:cs="Times New Roman"/>
          <w:snapToGrid w:val="0"/>
          <w:kern w:val="0"/>
          <w:sz w:val="28"/>
          <w:szCs w:val="28"/>
        </w:rPr>
      </w:pPr>
      <w:r>
        <w:rPr>
          <w:rFonts w:hint="eastAsia" w:ascii="黑体" w:hAnsi="黑体" w:eastAsia="黑体" w:cs="Times New Roman"/>
          <w:sz w:val="28"/>
          <w:szCs w:val="28"/>
        </w:rPr>
        <w:t>一、规模与布局</w:t>
      </w:r>
    </w:p>
    <w:tbl>
      <w:tblPr>
        <w:tblStyle w:val="9"/>
        <w:tblW w:w="135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8"/>
        <w:gridCol w:w="2580"/>
        <w:gridCol w:w="2148"/>
        <w:gridCol w:w="2175"/>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429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cs="Times New Roman"/>
                <w:snapToGrid w:val="0"/>
                <w:kern w:val="0"/>
                <w:sz w:val="28"/>
                <w:szCs w:val="28"/>
              </w:rPr>
            </w:pPr>
            <w:r>
              <w:rPr>
                <w:rFonts w:hint="eastAsia" w:ascii="黑体" w:hAnsi="黑体" w:eastAsia="黑体" w:cs="Times New Roman"/>
                <w:snapToGrid w:val="0"/>
                <w:kern w:val="0"/>
                <w:sz w:val="28"/>
                <w:szCs w:val="28"/>
              </w:rPr>
              <w:t>指标</w:t>
            </w:r>
          </w:p>
        </w:tc>
        <w:tc>
          <w:tcPr>
            <w:tcW w:w="258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cs="Times New Roman"/>
                <w:snapToGrid w:val="0"/>
                <w:kern w:val="0"/>
                <w:sz w:val="28"/>
                <w:szCs w:val="28"/>
              </w:rPr>
            </w:pPr>
            <w:r>
              <w:rPr>
                <w:rFonts w:hint="eastAsia" w:ascii="黑体" w:hAnsi="黑体" w:eastAsia="黑体" w:cs="Times New Roman"/>
                <w:snapToGrid w:val="0"/>
                <w:kern w:val="0"/>
                <w:sz w:val="28"/>
                <w:szCs w:val="28"/>
              </w:rPr>
              <w:t>现有基础（2019年）</w:t>
            </w:r>
          </w:p>
        </w:tc>
        <w:tc>
          <w:tcPr>
            <w:tcW w:w="214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cs="Times New Roman"/>
                <w:snapToGrid w:val="0"/>
                <w:kern w:val="0"/>
                <w:sz w:val="28"/>
                <w:szCs w:val="28"/>
              </w:rPr>
            </w:pPr>
            <w:r>
              <w:rPr>
                <w:rFonts w:hint="eastAsia" w:ascii="黑体" w:hAnsi="黑体" w:eastAsia="黑体" w:cs="Times New Roman"/>
                <w:snapToGrid w:val="0"/>
                <w:kern w:val="0"/>
                <w:sz w:val="28"/>
                <w:szCs w:val="28"/>
              </w:rPr>
              <w:t>2020年</w:t>
            </w:r>
          </w:p>
        </w:tc>
        <w:tc>
          <w:tcPr>
            <w:tcW w:w="217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cs="Times New Roman"/>
                <w:snapToGrid w:val="0"/>
                <w:kern w:val="0"/>
                <w:sz w:val="28"/>
                <w:szCs w:val="28"/>
              </w:rPr>
            </w:pPr>
            <w:r>
              <w:rPr>
                <w:rFonts w:hint="eastAsia" w:ascii="黑体" w:hAnsi="黑体" w:eastAsia="黑体" w:cs="Times New Roman"/>
                <w:snapToGrid w:val="0"/>
                <w:kern w:val="0"/>
                <w:sz w:val="28"/>
                <w:szCs w:val="28"/>
              </w:rPr>
              <w:t>2021年</w:t>
            </w:r>
          </w:p>
        </w:tc>
        <w:tc>
          <w:tcPr>
            <w:tcW w:w="2335"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黑体" w:hAnsi="黑体" w:eastAsia="黑体" w:cs="Times New Roman"/>
                <w:snapToGrid w:val="0"/>
                <w:kern w:val="0"/>
                <w:sz w:val="28"/>
                <w:szCs w:val="28"/>
              </w:rPr>
            </w:pPr>
            <w:r>
              <w:rPr>
                <w:rFonts w:hint="eastAsia" w:ascii="黑体" w:hAnsi="黑体" w:eastAsia="黑体" w:cs="Times New Roman"/>
                <w:snapToGrid w:val="0"/>
                <w:kern w:val="0"/>
                <w:sz w:val="28"/>
                <w:szCs w:val="28"/>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等线" w:eastAsia="仿宋_GB2312" w:cs="Times New Roman"/>
                <w:sz w:val="28"/>
                <w:szCs w:val="28"/>
              </w:rPr>
            </w:pPr>
            <w:r>
              <w:rPr>
                <w:rFonts w:hint="eastAsia" w:ascii="仿宋_GB2312" w:hAnsi="Times New Roman" w:eastAsia="仿宋_GB2312" w:cs="Times New Roman"/>
                <w:sz w:val="28"/>
                <w:szCs w:val="28"/>
              </w:rPr>
              <w:t>高中阶段招生职普比</w:t>
            </w:r>
          </w:p>
        </w:tc>
        <w:tc>
          <w:tcPr>
            <w:tcW w:w="2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40.8:59.2</w:t>
            </w:r>
          </w:p>
        </w:tc>
        <w:tc>
          <w:tcPr>
            <w:tcW w:w="21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42.9：57.1</w:t>
            </w:r>
          </w:p>
        </w:tc>
        <w:tc>
          <w:tcPr>
            <w:tcW w:w="2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44.4:55.6</w:t>
            </w:r>
          </w:p>
        </w:tc>
        <w:tc>
          <w:tcPr>
            <w:tcW w:w="2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45.2:54.8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中职学校数量（所）</w:t>
            </w:r>
          </w:p>
        </w:tc>
        <w:tc>
          <w:tcPr>
            <w:tcW w:w="2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9</w:t>
            </w:r>
          </w:p>
        </w:tc>
        <w:tc>
          <w:tcPr>
            <w:tcW w:w="21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9</w:t>
            </w:r>
          </w:p>
        </w:tc>
        <w:tc>
          <w:tcPr>
            <w:tcW w:w="2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10</w:t>
            </w:r>
          </w:p>
        </w:tc>
        <w:tc>
          <w:tcPr>
            <w:tcW w:w="2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Times New Roman" w:eastAsia="仿宋_GB2312" w:cs="Times New Roman"/>
                <w:sz w:val="24"/>
                <w:szCs w:val="22"/>
              </w:rPr>
            </w:pPr>
            <w:r>
              <w:rPr>
                <w:rFonts w:hint="eastAsia" w:ascii="仿宋_GB2312" w:hAnsi="Times New Roman" w:eastAsia="仿宋_GB2312" w:cs="Times New Roman"/>
                <w:sz w:val="28"/>
                <w:szCs w:val="28"/>
              </w:rPr>
              <w:t>其中，综合性中职学校数量（所）</w:t>
            </w:r>
          </w:p>
        </w:tc>
        <w:tc>
          <w:tcPr>
            <w:tcW w:w="2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8</w:t>
            </w:r>
          </w:p>
        </w:tc>
        <w:tc>
          <w:tcPr>
            <w:tcW w:w="21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8</w:t>
            </w:r>
          </w:p>
        </w:tc>
        <w:tc>
          <w:tcPr>
            <w:tcW w:w="2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9</w:t>
            </w:r>
          </w:p>
        </w:tc>
        <w:tc>
          <w:tcPr>
            <w:tcW w:w="2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Times New Roman" w:eastAsia="仿宋_GB2312" w:cs="Times New Roman"/>
                <w:sz w:val="24"/>
                <w:szCs w:val="22"/>
              </w:rPr>
            </w:pPr>
            <w:r>
              <w:rPr>
                <w:rFonts w:hint="eastAsia" w:ascii="仿宋_GB2312" w:hAnsi="Times New Roman" w:eastAsia="仿宋_GB2312" w:cs="Times New Roman"/>
                <w:sz w:val="28"/>
                <w:szCs w:val="28"/>
              </w:rPr>
              <w:t>其中，特色中职学校数量（所）</w:t>
            </w:r>
          </w:p>
        </w:tc>
        <w:tc>
          <w:tcPr>
            <w:tcW w:w="2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p>
        </w:tc>
        <w:tc>
          <w:tcPr>
            <w:tcW w:w="21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p>
        </w:tc>
        <w:tc>
          <w:tcPr>
            <w:tcW w:w="2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p>
        </w:tc>
        <w:tc>
          <w:tcPr>
            <w:tcW w:w="2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中职学校校均在校生规模（人）</w:t>
            </w:r>
          </w:p>
        </w:tc>
        <w:tc>
          <w:tcPr>
            <w:tcW w:w="2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2337</w:t>
            </w:r>
          </w:p>
        </w:tc>
        <w:tc>
          <w:tcPr>
            <w:tcW w:w="21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2583</w:t>
            </w:r>
          </w:p>
        </w:tc>
        <w:tc>
          <w:tcPr>
            <w:tcW w:w="2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2554</w:t>
            </w:r>
          </w:p>
        </w:tc>
        <w:tc>
          <w:tcPr>
            <w:tcW w:w="2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2553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举办五年制高职教育的中职学校数量（所）</w:t>
            </w:r>
          </w:p>
        </w:tc>
        <w:tc>
          <w:tcPr>
            <w:tcW w:w="2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5</w:t>
            </w:r>
          </w:p>
        </w:tc>
        <w:tc>
          <w:tcPr>
            <w:tcW w:w="21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5</w:t>
            </w:r>
          </w:p>
        </w:tc>
        <w:tc>
          <w:tcPr>
            <w:tcW w:w="2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5</w:t>
            </w:r>
          </w:p>
        </w:tc>
        <w:tc>
          <w:tcPr>
            <w:tcW w:w="2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高职院校数量（所）</w:t>
            </w:r>
          </w:p>
        </w:tc>
        <w:tc>
          <w:tcPr>
            <w:tcW w:w="2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p>
        </w:tc>
        <w:tc>
          <w:tcPr>
            <w:tcW w:w="21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p>
        </w:tc>
        <w:tc>
          <w:tcPr>
            <w:tcW w:w="2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p>
        </w:tc>
        <w:tc>
          <w:tcPr>
            <w:tcW w:w="2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高职院校在校生规模（人）</w:t>
            </w:r>
          </w:p>
        </w:tc>
        <w:tc>
          <w:tcPr>
            <w:tcW w:w="2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11343</w:t>
            </w:r>
          </w:p>
        </w:tc>
        <w:tc>
          <w:tcPr>
            <w:tcW w:w="21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11033</w:t>
            </w:r>
          </w:p>
        </w:tc>
        <w:tc>
          <w:tcPr>
            <w:tcW w:w="2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11834</w:t>
            </w:r>
          </w:p>
        </w:tc>
        <w:tc>
          <w:tcPr>
            <w:tcW w:w="2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10500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98"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高职院校接收中职毕业生数（人）</w:t>
            </w:r>
          </w:p>
        </w:tc>
        <w:tc>
          <w:tcPr>
            <w:tcW w:w="25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2463</w:t>
            </w:r>
          </w:p>
        </w:tc>
        <w:tc>
          <w:tcPr>
            <w:tcW w:w="214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2624</w:t>
            </w:r>
          </w:p>
        </w:tc>
        <w:tc>
          <w:tcPr>
            <w:tcW w:w="2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2870</w:t>
            </w:r>
          </w:p>
        </w:tc>
        <w:tc>
          <w:tcPr>
            <w:tcW w:w="233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仿宋_GB2312" w:hAnsi="Times New Roman" w:eastAsia="仿宋_GB2312" w:cs="Times New Roman"/>
                <w:sz w:val="28"/>
                <w:szCs w:val="28"/>
              </w:rPr>
            </w:pPr>
            <w:r>
              <w:rPr>
                <w:rFonts w:hint="eastAsia" w:ascii="仿宋_GB2312" w:hAnsi="Times New Roman" w:eastAsia="仿宋_GB2312" w:cs="Times New Roman"/>
                <w:sz w:val="28"/>
                <w:szCs w:val="28"/>
              </w:rPr>
              <w:t>2850</w:t>
            </w:r>
          </w:p>
        </w:tc>
      </w:tr>
    </w:tbl>
    <w:p>
      <w:pPr>
        <w:spacing w:line="400" w:lineRule="exact"/>
        <w:ind w:firstLine="560" w:firstLineChars="200"/>
        <w:rPr>
          <w:rFonts w:ascii="黑体" w:hAnsi="黑体" w:eastAsia="黑体" w:cs="Times New Roman"/>
          <w:sz w:val="32"/>
          <w:szCs w:val="32"/>
        </w:rPr>
      </w:pPr>
      <w:r>
        <w:rPr>
          <w:rFonts w:hint="eastAsia" w:ascii="黑体" w:hAnsi="黑体" w:eastAsia="黑体" w:cs="Times New Roman"/>
          <w:sz w:val="28"/>
          <w:szCs w:val="28"/>
        </w:rPr>
        <w:t>备注：</w:t>
      </w:r>
      <w:r>
        <w:rPr>
          <w:rFonts w:hint="eastAsia" w:ascii="仿宋_GB2312" w:hAnsi="Times New Roman" w:eastAsia="仿宋_GB2312" w:cs="Times New Roman"/>
          <w:sz w:val="24"/>
        </w:rPr>
        <w:t>1.附表1—6职业院校为各市、县（市、区）所举办职业院校（含驻地民办院校、技师院校和高职院校）。2.考察综合性和特色学校目的，主要是鼓励学校错位发展、特色发展。3.学校填写时，附表1不需要填写，附表2</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rPr>
        <w:t>6只填写适合学校的指标。</w:t>
      </w:r>
    </w:p>
    <w:p>
      <w:pPr>
        <w:widowControl/>
        <w:jc w:val="left"/>
        <w:rPr>
          <w:rFonts w:hint="eastAsia" w:ascii="黑体" w:hAnsi="黑体" w:eastAsia="黑体" w:cs="Times New Roman"/>
          <w:sz w:val="32"/>
          <w:szCs w:val="32"/>
        </w:rPr>
      </w:pPr>
    </w:p>
    <w:p>
      <w:pPr>
        <w:widowControl/>
        <w:jc w:val="left"/>
        <w:rPr>
          <w:rFonts w:ascii="黑体" w:hAnsi="黑体" w:eastAsia="黑体" w:cs="Times New Roman"/>
          <w:sz w:val="32"/>
          <w:szCs w:val="32"/>
        </w:rPr>
      </w:pPr>
      <w:r>
        <w:rPr>
          <w:rFonts w:hint="eastAsia" w:ascii="黑体" w:hAnsi="黑体" w:eastAsia="黑体" w:cs="Times New Roman"/>
          <w:sz w:val="32"/>
          <w:szCs w:val="32"/>
        </w:rPr>
        <w:t>二、专业布局</w:t>
      </w:r>
    </w:p>
    <w:tbl>
      <w:tblPr>
        <w:tblStyle w:val="9"/>
        <w:tblW w:w="13680" w:type="dxa"/>
        <w:tblInd w:w="0" w:type="dxa"/>
        <w:tblLayout w:type="fixed"/>
        <w:tblCellMar>
          <w:top w:w="0" w:type="dxa"/>
          <w:left w:w="0" w:type="dxa"/>
          <w:bottom w:w="0" w:type="dxa"/>
          <w:right w:w="0" w:type="dxa"/>
        </w:tblCellMar>
      </w:tblPr>
      <w:tblGrid>
        <w:gridCol w:w="621"/>
        <w:gridCol w:w="1740"/>
        <w:gridCol w:w="630"/>
        <w:gridCol w:w="765"/>
        <w:gridCol w:w="1725"/>
        <w:gridCol w:w="630"/>
        <w:gridCol w:w="810"/>
        <w:gridCol w:w="1770"/>
        <w:gridCol w:w="600"/>
        <w:gridCol w:w="780"/>
        <w:gridCol w:w="2169"/>
        <w:gridCol w:w="630"/>
        <w:gridCol w:w="810"/>
      </w:tblGrid>
      <w:tr>
        <w:tblPrEx>
          <w:tblCellMar>
            <w:top w:w="0" w:type="dxa"/>
            <w:left w:w="0" w:type="dxa"/>
            <w:bottom w:w="0" w:type="dxa"/>
            <w:right w:w="0" w:type="dxa"/>
          </w:tblCellMar>
        </w:tblPrEx>
        <w:trPr>
          <w:trHeight w:val="375" w:hRule="atLeast"/>
        </w:trPr>
        <w:tc>
          <w:tcPr>
            <w:tcW w:w="62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产业</w:t>
            </w:r>
          </w:p>
        </w:tc>
        <w:tc>
          <w:tcPr>
            <w:tcW w:w="3135"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现有基础（2019年）</w:t>
            </w:r>
          </w:p>
        </w:tc>
        <w:tc>
          <w:tcPr>
            <w:tcW w:w="3165"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2020年</w:t>
            </w:r>
          </w:p>
        </w:tc>
        <w:tc>
          <w:tcPr>
            <w:tcW w:w="3150"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2021年</w:t>
            </w:r>
          </w:p>
        </w:tc>
        <w:tc>
          <w:tcPr>
            <w:tcW w:w="360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2022年</w:t>
            </w:r>
          </w:p>
        </w:tc>
      </w:tr>
      <w:tr>
        <w:tblPrEx>
          <w:tblCellMar>
            <w:top w:w="0" w:type="dxa"/>
            <w:left w:w="0" w:type="dxa"/>
            <w:bottom w:w="0" w:type="dxa"/>
            <w:right w:w="0" w:type="dxa"/>
          </w:tblCellMar>
        </w:tblPrEx>
        <w:trPr>
          <w:trHeight w:val="270" w:hRule="atLeast"/>
        </w:trPr>
        <w:tc>
          <w:tcPr>
            <w:tcW w:w="62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黑体" w:hAnsi="宋体" w:eastAsia="黑体" w:cs="黑体"/>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开设专业</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专业点数</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学生数</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开设专业</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专业点数</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学生数</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开设专业</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专业点数</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学生数</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开设专业</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专业点数</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黑体"/>
                <w:color w:val="000000"/>
                <w:sz w:val="24"/>
                <w:szCs w:val="24"/>
              </w:rPr>
            </w:pPr>
            <w:r>
              <w:rPr>
                <w:rFonts w:hint="eastAsia" w:ascii="黑体" w:hAnsi="宋体" w:eastAsia="黑体" w:cs="黑体"/>
                <w:color w:val="000000"/>
                <w:kern w:val="0"/>
                <w:sz w:val="24"/>
                <w:szCs w:val="24"/>
              </w:rPr>
              <w:t>学生数</w:t>
            </w:r>
          </w:p>
        </w:tc>
      </w:tr>
      <w:tr>
        <w:tblPrEx>
          <w:tblCellMar>
            <w:top w:w="0" w:type="dxa"/>
            <w:left w:w="0" w:type="dxa"/>
            <w:bottom w:w="0" w:type="dxa"/>
            <w:right w:w="0" w:type="dxa"/>
          </w:tblCellMar>
        </w:tblPrEx>
        <w:trPr>
          <w:trHeight w:val="1425"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新一代信息技术</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电子信息工程技术、计算机应用技术、软件技术、物联网应用技术、计算机应用、计算机平面设计</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6</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2692</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电子信息工程技术、计算机应用技术、软件技术、物联网应用技术、大数据技术与应用、</w:t>
            </w:r>
          </w:p>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计算机应用、计算机平面设计</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7</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2860</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电子信息工程技术、计算机应用技术、软件技术、物联网应用技术、大数据技术与应用、计算机应用、计算机平面设计、服务机器人装调与维护</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8</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3404</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电子信息工程技术、计算机应用技术、软件技术、物联网应用技术、大数据技术与应用、计算机应用、计算机平面设计、5G基站建设与维护、服务机器人装调与维护、电子技术应用</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10</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3445</w:t>
            </w:r>
          </w:p>
        </w:tc>
      </w:tr>
      <w:tr>
        <w:tblPrEx>
          <w:tblCellMar>
            <w:top w:w="0" w:type="dxa"/>
            <w:left w:w="0" w:type="dxa"/>
            <w:bottom w:w="0" w:type="dxa"/>
            <w:right w:w="0" w:type="dxa"/>
          </w:tblCellMar>
        </w:tblPrEx>
        <w:trPr>
          <w:trHeight w:val="1015"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高端装备</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机械设计与制造、</w:t>
            </w:r>
            <w:r>
              <w:rPr>
                <w:rFonts w:hint="eastAsia" w:ascii="仿宋_GB2312" w:hAnsi="仿宋_GB2312" w:eastAsia="仿宋_GB2312" w:cs="仿宋_GB2312"/>
                <w:kern w:val="0"/>
                <w:sz w:val="24"/>
              </w:rPr>
              <w:t>数控技术</w:t>
            </w:r>
            <w:r>
              <w:rPr>
                <w:rFonts w:hint="eastAsia" w:ascii="仿宋_GB2312" w:hAnsi="仿宋_GB2312" w:eastAsia="仿宋_GB2312" w:cs="仿宋_GB2312"/>
                <w:color w:val="0D0D0D"/>
                <w:kern w:val="0"/>
                <w:sz w:val="24"/>
              </w:rPr>
              <w:t>、焊接技术与自动化、汽车检测与维修技术、模具设计与制造、机电一体化技术、工业机器人技术专业、无人机应用技术、数控技术应用、机械制造技术、机电技术应用、焊接技术应用</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12</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rPr>
              <w:t>2011</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rPr>
              <w:t>机械设计与制造、数控技术、焊接技术与自动化、汽车检测与维修技术、模具设计与制造、机电一体化技术、工业机器人技术专业、无人机应用技术、数控技术应用、</w:t>
            </w:r>
            <w:r>
              <w:rPr>
                <w:rFonts w:hint="eastAsia" w:ascii="仿宋_GB2312" w:hAnsi="仿宋_GB2312" w:eastAsia="仿宋_GB2312" w:cs="仿宋_GB2312"/>
                <w:color w:val="0D0D0D"/>
                <w:kern w:val="0"/>
                <w:sz w:val="24"/>
              </w:rPr>
              <w:t>机械制造技术、机电技术应用、焊接技术应用</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12</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1892</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机械设计与制造、数控技术、焊接技术与自动化、汽车检测与维修技术、模具设计与制造、机电一体化技术、工业机器人技术专业、无人机应用技术、机械制造技术、机电技术应用、数控技术应用、焊接技术应用</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12</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2129</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机械设计与制造、数控技术、焊接技术与自动化、汽车检测与维修技术、模具设计与制造、机电一体化技术、工业机器人技术专业、无人机应用技术、数控技术应用、机械制造技术、机电技术应用、焊接技术应用</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12</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1800</w:t>
            </w:r>
          </w:p>
        </w:tc>
      </w:tr>
      <w:tr>
        <w:tblPrEx>
          <w:tblCellMar>
            <w:top w:w="0" w:type="dxa"/>
            <w:left w:w="0" w:type="dxa"/>
            <w:bottom w:w="0" w:type="dxa"/>
            <w:right w:w="0" w:type="dxa"/>
          </w:tblCellMar>
        </w:tblPrEx>
        <w:trPr>
          <w:trHeight w:val="570"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新能源新材料</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电气自动化技术</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243</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电气自动化技术、新能源汽车技术、新能源汽车装调与检修</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261</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电气自动化技术、新能源汽车技术、新能源汽车装调与检修</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427</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电气自动化技术、新能源汽车技术、新能源汽车装调与检修</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3</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466</w:t>
            </w:r>
          </w:p>
        </w:tc>
      </w:tr>
      <w:tr>
        <w:tblPrEx>
          <w:tblCellMar>
            <w:top w:w="0" w:type="dxa"/>
            <w:left w:w="0" w:type="dxa"/>
            <w:bottom w:w="0" w:type="dxa"/>
            <w:right w:w="0" w:type="dxa"/>
          </w:tblCellMar>
        </w:tblPrEx>
        <w:trPr>
          <w:trHeight w:val="614" w:hRule="atLeast"/>
        </w:trPr>
        <w:tc>
          <w:tcPr>
            <w:tcW w:w="621"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sz w:val="24"/>
              </w:rPr>
              <w:t>人工</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sz w:val="24"/>
              </w:rPr>
              <w:t>智能</w:t>
            </w:r>
          </w:p>
        </w:tc>
        <w:tc>
          <w:tcPr>
            <w:tcW w:w="174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sz w:val="24"/>
              </w:rPr>
            </w:pPr>
          </w:p>
        </w:tc>
        <w:tc>
          <w:tcPr>
            <w:tcW w:w="63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p>
        </w:tc>
        <w:tc>
          <w:tcPr>
            <w:tcW w:w="76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p>
        </w:tc>
        <w:tc>
          <w:tcPr>
            <w:tcW w:w="172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sz w:val="24"/>
              </w:rPr>
            </w:pPr>
          </w:p>
        </w:tc>
        <w:tc>
          <w:tcPr>
            <w:tcW w:w="63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p>
        </w:tc>
        <w:tc>
          <w:tcPr>
            <w:tcW w:w="81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p>
        </w:tc>
        <w:tc>
          <w:tcPr>
            <w:tcW w:w="177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增材制造技术应用（3D打印技术方向）、无人机控制与维护、工业机器人技术运用</w:t>
            </w:r>
          </w:p>
        </w:tc>
        <w:tc>
          <w:tcPr>
            <w:tcW w:w="60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78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225</w:t>
            </w:r>
          </w:p>
        </w:tc>
        <w:tc>
          <w:tcPr>
            <w:tcW w:w="2169"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人工智能服务、增材制造技术应用（3D打印技术方向）、工业机器人技术应用、无人机控制与维护、工业机器人技术运用、3D打印技术</w:t>
            </w:r>
          </w:p>
        </w:tc>
        <w:tc>
          <w:tcPr>
            <w:tcW w:w="63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6</w:t>
            </w:r>
          </w:p>
        </w:tc>
        <w:tc>
          <w:tcPr>
            <w:tcW w:w="810"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525</w:t>
            </w:r>
          </w:p>
        </w:tc>
      </w:tr>
      <w:tr>
        <w:tblPrEx>
          <w:tblCellMar>
            <w:top w:w="0" w:type="dxa"/>
            <w:left w:w="0" w:type="dxa"/>
            <w:bottom w:w="0" w:type="dxa"/>
            <w:right w:w="0" w:type="dxa"/>
          </w:tblCellMar>
        </w:tblPrEx>
        <w:trPr>
          <w:trHeight w:val="2219" w:hRule="atLeast"/>
        </w:trPr>
        <w:tc>
          <w:tcPr>
            <w:tcW w:w="621"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医养</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健康</w:t>
            </w:r>
          </w:p>
        </w:tc>
        <w:tc>
          <w:tcPr>
            <w:tcW w:w="174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护理、药学、康复治疗技术、助产、口腔医学技术、药品经营与管理、老年服务与管理、中医学、幼儿发展与健康管理、药剂</w:t>
            </w:r>
          </w:p>
        </w:tc>
        <w:tc>
          <w:tcPr>
            <w:tcW w:w="63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10</w:t>
            </w:r>
          </w:p>
        </w:tc>
        <w:tc>
          <w:tcPr>
            <w:tcW w:w="76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8381</w:t>
            </w:r>
          </w:p>
        </w:tc>
        <w:tc>
          <w:tcPr>
            <w:tcW w:w="1725"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护理、药学、康复治疗技术、助产、口腔医学技术、药品经营与管理、老年服务与管理、中医学、幼儿保育、药剂</w:t>
            </w:r>
          </w:p>
        </w:tc>
        <w:tc>
          <w:tcPr>
            <w:tcW w:w="63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10</w:t>
            </w:r>
          </w:p>
        </w:tc>
        <w:tc>
          <w:tcPr>
            <w:tcW w:w="81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8148</w:t>
            </w:r>
          </w:p>
        </w:tc>
        <w:tc>
          <w:tcPr>
            <w:tcW w:w="177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护理、药学、康复治疗技术、助产、口腔医学技术、药品经营与管理、老年服务与管理、中医学、幼儿保育、中药学、烹饪技术、药剂</w:t>
            </w:r>
          </w:p>
        </w:tc>
        <w:tc>
          <w:tcPr>
            <w:tcW w:w="60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11</w:t>
            </w:r>
          </w:p>
        </w:tc>
        <w:tc>
          <w:tcPr>
            <w:tcW w:w="78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8667</w:t>
            </w:r>
          </w:p>
        </w:tc>
        <w:tc>
          <w:tcPr>
            <w:tcW w:w="2169"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护理、药学、康复治疗技术、助产、口腔医学技术、药品经营与管理、老年服务与管理、中医学、幼儿保育、中药学、针灸推拿、烹饪技术、药剂</w:t>
            </w:r>
          </w:p>
        </w:tc>
        <w:tc>
          <w:tcPr>
            <w:tcW w:w="63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13</w:t>
            </w:r>
          </w:p>
        </w:tc>
        <w:tc>
          <w:tcPr>
            <w:tcW w:w="810"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7649</w:t>
            </w:r>
          </w:p>
        </w:tc>
      </w:tr>
      <w:tr>
        <w:tblPrEx>
          <w:tblCellMar>
            <w:top w:w="0" w:type="dxa"/>
            <w:left w:w="0" w:type="dxa"/>
            <w:bottom w:w="0" w:type="dxa"/>
            <w:right w:w="0" w:type="dxa"/>
          </w:tblCellMar>
        </w:tblPrEx>
        <w:trPr>
          <w:trHeight w:val="855"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文化</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创意</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艺术设计、数字媒体应用技术、音乐、舞蹈表演</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4</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589</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艺术设计、数字媒体应用技术、音乐、学前教育、舞蹈表演</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5</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884</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艺术设计、数字媒体应用技术、音乐表演、音乐、舞蹈表演、学前教育</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6</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1151</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艺术设计、数字媒体应用技术、音乐表演、音乐、学前教育、舞蹈表演</w:t>
            </w:r>
          </w:p>
          <w:p>
            <w:pPr>
              <w:pStyle w:val="2"/>
              <w:keepNext w:val="0"/>
              <w:keepLines w:val="0"/>
              <w:pageBreakBefore w:val="0"/>
              <w:widowControl/>
              <w:kinsoku/>
              <w:wordWrap/>
              <w:overflowPunct/>
              <w:topLinePunct w:val="0"/>
              <w:autoSpaceDE/>
              <w:autoSpaceDN/>
              <w:bidi w:val="0"/>
              <w:adjustRightInd/>
              <w:snapToGrid/>
              <w:spacing w:line="280" w:lineRule="exact"/>
              <w:jc w:val="both"/>
              <w:rPr>
                <w:rFonts w:hint="eastAsia" w:ascii="仿宋_GB2312" w:hAnsi="仿宋_GB2312" w:eastAsia="仿宋_GB2312" w:cs="仿宋_GB2312"/>
              </w:rPr>
            </w:pP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6</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1266</w:t>
            </w:r>
          </w:p>
        </w:tc>
      </w:tr>
      <w:tr>
        <w:tblPrEx>
          <w:tblCellMar>
            <w:top w:w="0" w:type="dxa"/>
            <w:left w:w="0" w:type="dxa"/>
            <w:bottom w:w="0" w:type="dxa"/>
            <w:right w:w="0" w:type="dxa"/>
          </w:tblCellMar>
        </w:tblPrEx>
        <w:trPr>
          <w:trHeight w:val="285"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精品</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旅游</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旅游管理、旅游服务与管理</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219</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旅游管理、旅游服务与管理、美发与形象设计</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311</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旅游管理、旅游服务与管理、美发与形象设计</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1120</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旅游管理、美发与形象设计、旅游服务与管理</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1355</w:t>
            </w:r>
          </w:p>
        </w:tc>
      </w:tr>
      <w:tr>
        <w:tblPrEx>
          <w:tblCellMar>
            <w:top w:w="0" w:type="dxa"/>
            <w:left w:w="0" w:type="dxa"/>
            <w:bottom w:w="0" w:type="dxa"/>
            <w:right w:w="0" w:type="dxa"/>
          </w:tblCellMar>
        </w:tblPrEx>
        <w:trPr>
          <w:trHeight w:val="855"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sz w:val="24"/>
              </w:rPr>
            </w:pPr>
            <w:r>
              <w:rPr>
                <w:rFonts w:hint="eastAsia" w:ascii="仿宋_GB2312" w:hAnsi="仿宋_GB2312" w:eastAsia="仿宋_GB2312" w:cs="仿宋_GB2312"/>
                <w:color w:val="0D0D0D"/>
                <w:kern w:val="0"/>
                <w:sz w:val="24"/>
              </w:rPr>
              <w:t>现代金融服务</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会计电算化、电子商务、汽车营销与服务</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1339</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会计电算化、电子商务、汽车营销与服务</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1358</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会计电算化、电子商务、汽车营销与服务</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1393</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会计电算化、电子商务、汽车营销与服务会</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1250</w:t>
            </w:r>
          </w:p>
        </w:tc>
      </w:tr>
      <w:tr>
        <w:tblPrEx>
          <w:tblCellMar>
            <w:top w:w="0" w:type="dxa"/>
            <w:left w:w="0" w:type="dxa"/>
            <w:bottom w:w="0" w:type="dxa"/>
            <w:right w:w="0" w:type="dxa"/>
          </w:tblCellMar>
        </w:tblPrEx>
        <w:trPr>
          <w:trHeight w:val="618"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煤炭</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产业</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矿山机电技术、煤矿开采技术</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28</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矿山机电技术、煤矿开采技术</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21</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矿山机电技术、煤矿开采技术</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21</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矿山机电技术、煤矿开采技术</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21</w:t>
            </w:r>
          </w:p>
        </w:tc>
      </w:tr>
      <w:tr>
        <w:tblPrEx>
          <w:tblCellMar>
            <w:top w:w="0" w:type="dxa"/>
            <w:left w:w="0" w:type="dxa"/>
            <w:bottom w:w="0" w:type="dxa"/>
            <w:right w:w="0" w:type="dxa"/>
          </w:tblCellMar>
        </w:tblPrEx>
        <w:trPr>
          <w:trHeight w:val="570"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现代服务业</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物流管理</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224</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物流管理</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350</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物流管理</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350</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物流管理</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280</w:t>
            </w:r>
          </w:p>
        </w:tc>
      </w:tr>
      <w:tr>
        <w:tblPrEx>
          <w:tblCellMar>
            <w:top w:w="0" w:type="dxa"/>
            <w:left w:w="0" w:type="dxa"/>
            <w:bottom w:w="0" w:type="dxa"/>
            <w:right w:w="0" w:type="dxa"/>
          </w:tblCellMar>
        </w:tblPrEx>
        <w:trPr>
          <w:trHeight w:val="1710"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建筑</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FF0000"/>
                <w:sz w:val="24"/>
              </w:rPr>
            </w:pPr>
            <w:r>
              <w:rPr>
                <w:rFonts w:hint="eastAsia" w:ascii="仿宋_GB2312" w:hAnsi="仿宋_GB2312" w:eastAsia="仿宋_GB2312" w:cs="仿宋_GB2312"/>
                <w:color w:val="0D0D0D"/>
                <w:kern w:val="0"/>
                <w:sz w:val="24"/>
              </w:rPr>
              <w:t>产业</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工程测量技术、建筑工程技术、工程造价、建设工程管理、建筑装饰工程技术、建筑设计、建筑工程施工、工程测量</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8</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1811</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工程测量技术、建筑工程技术、工程造价、建设工程管理、建筑装饰工程技术、建筑设计、建筑工程施工、工程测量</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8</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1660</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工程测量技术、建筑工程技术、工程造价、建设工程管理、建筑装饰工程技术、建筑设计、室内设计、建筑工程施工、工程测量</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9</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1679</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工程测量技术、建筑工程技术、工程造价、建设工程管理、建筑装饰工程技术、建筑设计、室内设计、智能建造技术、建筑工程施工、工程测量</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10</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1357</w:t>
            </w:r>
          </w:p>
        </w:tc>
      </w:tr>
      <w:tr>
        <w:tblPrEx>
          <w:tblCellMar>
            <w:top w:w="0" w:type="dxa"/>
            <w:left w:w="0" w:type="dxa"/>
            <w:bottom w:w="0" w:type="dxa"/>
            <w:right w:w="0" w:type="dxa"/>
          </w:tblCellMar>
        </w:tblPrEx>
        <w:trPr>
          <w:trHeight w:val="923"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交通</w:t>
            </w:r>
          </w:p>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00000"/>
                <w:kern w:val="0"/>
                <w:sz w:val="24"/>
              </w:rPr>
              <w:t>运输</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汽车运用与维修</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1076</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汽车运用与维修</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972</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汽车运用与维修</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1000</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汽车运用与维修</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931</w:t>
            </w:r>
          </w:p>
        </w:tc>
      </w:tr>
      <w:tr>
        <w:tblPrEx>
          <w:tblCellMar>
            <w:top w:w="0" w:type="dxa"/>
            <w:left w:w="0" w:type="dxa"/>
            <w:bottom w:w="0" w:type="dxa"/>
            <w:right w:w="0" w:type="dxa"/>
          </w:tblCellMar>
        </w:tblPrEx>
        <w:trPr>
          <w:trHeight w:val="682" w:hRule="atLeast"/>
        </w:trPr>
        <w:tc>
          <w:tcPr>
            <w:tcW w:w="62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其他重点产业</w:t>
            </w:r>
            <w:r>
              <w:rPr>
                <w:rFonts w:hint="eastAsia" w:ascii="仿宋_GB2312" w:hAnsi="仿宋_GB2312" w:eastAsia="仿宋_GB2312" w:cs="仿宋_GB2312"/>
                <w:color w:val="000000"/>
                <w:kern w:val="0"/>
                <w:sz w:val="24"/>
              </w:rPr>
              <w:t>1</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矿山机电</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7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20</w:t>
            </w:r>
          </w:p>
        </w:tc>
        <w:tc>
          <w:tcPr>
            <w:tcW w:w="17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矿山机电</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35</w:t>
            </w:r>
          </w:p>
        </w:tc>
        <w:tc>
          <w:tcPr>
            <w:tcW w:w="17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矿山机电</w:t>
            </w:r>
          </w:p>
        </w:tc>
        <w:tc>
          <w:tcPr>
            <w:tcW w:w="6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1</w:t>
            </w:r>
          </w:p>
        </w:tc>
        <w:tc>
          <w:tcPr>
            <w:tcW w:w="7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30</w:t>
            </w:r>
          </w:p>
        </w:tc>
        <w:tc>
          <w:tcPr>
            <w:tcW w:w="21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jc w:val="both"/>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矿山机电、安全技术管理</w:t>
            </w:r>
          </w:p>
        </w:tc>
        <w:tc>
          <w:tcPr>
            <w:tcW w:w="6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2</w:t>
            </w:r>
          </w:p>
        </w:tc>
        <w:tc>
          <w:tcPr>
            <w:tcW w:w="81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_GB2312" w:hAnsi="仿宋_GB2312" w:eastAsia="仿宋_GB2312" w:cs="仿宋_GB2312"/>
                <w:color w:val="0D0D0D"/>
                <w:kern w:val="0"/>
                <w:sz w:val="24"/>
              </w:rPr>
            </w:pPr>
            <w:r>
              <w:rPr>
                <w:rFonts w:hint="eastAsia" w:ascii="仿宋_GB2312" w:hAnsi="仿宋_GB2312" w:eastAsia="仿宋_GB2312" w:cs="仿宋_GB2312"/>
                <w:color w:val="0D0D0D"/>
                <w:kern w:val="0"/>
                <w:sz w:val="24"/>
              </w:rPr>
              <w:t>45</w:t>
            </w:r>
          </w:p>
        </w:tc>
      </w:tr>
    </w:tbl>
    <w:p>
      <w:pPr>
        <w:spacing w:line="400" w:lineRule="exact"/>
        <w:rPr>
          <w:rFonts w:ascii="仿宋_GB2312" w:hAnsi="等线" w:eastAsia="仿宋_GB2312" w:cs="Times New Roman"/>
          <w:sz w:val="28"/>
          <w:szCs w:val="28"/>
        </w:rPr>
      </w:pPr>
      <w:r>
        <w:rPr>
          <w:rFonts w:hint="eastAsia" w:ascii="黑体" w:hAnsi="黑体" w:eastAsia="黑体" w:cs="Times New Roman"/>
          <w:sz w:val="28"/>
          <w:szCs w:val="28"/>
        </w:rPr>
        <w:t>备注：</w:t>
      </w:r>
      <w:r>
        <w:rPr>
          <w:rFonts w:hint="eastAsia" w:ascii="仿宋_GB2312" w:hAnsi="Times New Roman" w:eastAsia="仿宋_GB2312" w:cs="Times New Roman"/>
          <w:sz w:val="24"/>
        </w:rPr>
        <w:t>1.上述为新旧动能转换“十强”产业。2.其他重点产业，各市（校）根据实际情况据实填写。3.每个产业填写一行。</w:t>
      </w:r>
    </w:p>
    <w:p>
      <w:pPr>
        <w:widowControl/>
        <w:jc w:val="left"/>
        <w:sectPr>
          <w:footerReference r:id="rId3" w:type="default"/>
          <w:pgSz w:w="16838" w:h="11906" w:orient="landscape"/>
          <w:pgMar w:top="1587" w:right="1587" w:bottom="1587" w:left="1587" w:header="851" w:footer="992" w:gutter="0"/>
          <w:pgNumType w:fmt="numberInDash"/>
          <w:cols w:space="0" w:num="1"/>
          <w:rtlGutter w:val="0"/>
          <w:docGrid w:type="lines" w:linePitch="314" w:charSpace="0"/>
        </w:sectPr>
      </w:pPr>
    </w:p>
    <w:p>
      <w:pPr>
        <w:jc w:val="left"/>
        <w:rPr>
          <w:rFonts w:ascii="方正小标宋简体" w:hAnsi="黑体" w:eastAsia="方正小标宋简体" w:cs="Times New Roman"/>
          <w:sz w:val="32"/>
          <w:szCs w:val="32"/>
        </w:rPr>
      </w:pPr>
      <w:r>
        <w:rPr>
          <w:rFonts w:hint="eastAsia" w:ascii="黑体" w:hAnsi="黑体" w:eastAsia="黑体" w:cs="Times New Roman"/>
          <w:sz w:val="32"/>
          <w:szCs w:val="32"/>
        </w:rPr>
        <w:t>三、师资队伍</w:t>
      </w:r>
    </w:p>
    <w:tbl>
      <w:tblPr>
        <w:tblStyle w:val="9"/>
        <w:tblW w:w="1363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0"/>
        <w:gridCol w:w="1721"/>
        <w:gridCol w:w="1824"/>
        <w:gridCol w:w="1875"/>
        <w:gridCol w:w="2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0"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4"/>
                <w:szCs w:val="22"/>
              </w:rPr>
            </w:pPr>
            <w:r>
              <w:rPr>
                <w:rFonts w:hint="eastAsia" w:ascii="黑体" w:hAnsi="黑体" w:eastAsia="黑体" w:cs="Times New Roman"/>
                <w:sz w:val="24"/>
              </w:rPr>
              <w:t>指标</w:t>
            </w:r>
          </w:p>
        </w:tc>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4"/>
              </w:rPr>
            </w:pPr>
            <w:r>
              <w:rPr>
                <w:rFonts w:hint="eastAsia" w:ascii="黑体" w:hAnsi="黑体" w:eastAsia="黑体" w:cs="Times New Roman"/>
                <w:sz w:val="24"/>
              </w:rPr>
              <w:t>现有基础</w:t>
            </w:r>
          </w:p>
          <w:p>
            <w:pPr>
              <w:jc w:val="center"/>
              <w:rPr>
                <w:rFonts w:ascii="黑体" w:hAnsi="黑体" w:eastAsia="黑体" w:cs="Times New Roman"/>
                <w:sz w:val="24"/>
              </w:rPr>
            </w:pPr>
            <w:r>
              <w:rPr>
                <w:rFonts w:hint="eastAsia" w:ascii="黑体" w:hAnsi="黑体" w:eastAsia="黑体" w:cs="Times New Roman"/>
                <w:sz w:val="24"/>
              </w:rPr>
              <w:t>（2019年）</w:t>
            </w:r>
          </w:p>
        </w:tc>
        <w:tc>
          <w:tcPr>
            <w:tcW w:w="182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4"/>
              </w:rPr>
            </w:pPr>
            <w:r>
              <w:rPr>
                <w:rFonts w:hint="eastAsia" w:ascii="黑体" w:hAnsi="黑体" w:eastAsia="黑体" w:cs="Times New Roman"/>
                <w:sz w:val="24"/>
              </w:rPr>
              <w:t>2020年</w:t>
            </w:r>
          </w:p>
        </w:tc>
        <w:tc>
          <w:tcPr>
            <w:tcW w:w="1875"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4"/>
              </w:rPr>
            </w:pPr>
            <w:r>
              <w:rPr>
                <w:rFonts w:hint="eastAsia" w:ascii="黑体" w:hAnsi="黑体" w:eastAsia="黑体" w:cs="Times New Roman"/>
                <w:sz w:val="24"/>
              </w:rPr>
              <w:t>2021年</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4"/>
              </w:rPr>
            </w:pPr>
            <w:r>
              <w:rPr>
                <w:rFonts w:hint="eastAsia" w:ascii="黑体" w:hAnsi="黑体" w:eastAsia="黑体" w:cs="Times New Roman"/>
                <w:sz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13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sz w:val="24"/>
              </w:rPr>
            </w:pPr>
            <w:r>
              <w:rPr>
                <w:rFonts w:hint="eastAsia" w:ascii="仿宋_GB2312" w:hAnsi="仿宋_GB2312" w:eastAsia="仿宋_GB2312" w:cs="仿宋_GB2312"/>
                <w:sz w:val="24"/>
              </w:rPr>
              <w:t>职业院校招聘教师数</w:t>
            </w: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131</w:t>
            </w:r>
          </w:p>
        </w:tc>
        <w:tc>
          <w:tcPr>
            <w:tcW w:w="1824"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148</w:t>
            </w:r>
          </w:p>
        </w:tc>
        <w:tc>
          <w:tcPr>
            <w:tcW w:w="1875"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162</w:t>
            </w:r>
          </w:p>
        </w:tc>
        <w:tc>
          <w:tcPr>
            <w:tcW w:w="2085"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13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sz w:val="24"/>
                <w:szCs w:val="22"/>
              </w:rPr>
            </w:pPr>
            <w:r>
              <w:rPr>
                <w:rFonts w:hint="eastAsia" w:ascii="仿宋_GB2312" w:hAnsi="仿宋_GB2312" w:eastAsia="仿宋_GB2312" w:cs="仿宋_GB2312"/>
                <w:sz w:val="24"/>
              </w:rPr>
              <w:t>其中，招聘有3年以上企业工作经历的人数</w:t>
            </w: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26</w:t>
            </w:r>
          </w:p>
        </w:tc>
        <w:tc>
          <w:tcPr>
            <w:tcW w:w="1824"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43</w:t>
            </w:r>
          </w:p>
        </w:tc>
        <w:tc>
          <w:tcPr>
            <w:tcW w:w="1875"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59</w:t>
            </w:r>
          </w:p>
        </w:tc>
        <w:tc>
          <w:tcPr>
            <w:tcW w:w="2085"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130" w:type="dxa"/>
            <w:tcBorders>
              <w:top w:val="single" w:color="auto" w:sz="4" w:space="0"/>
              <w:left w:val="single" w:color="auto" w:sz="4" w:space="0"/>
              <w:bottom w:val="single" w:color="auto" w:sz="4" w:space="0"/>
              <w:right w:val="single" w:color="auto" w:sz="4" w:space="0"/>
            </w:tcBorders>
            <w:vAlign w:val="center"/>
          </w:tcPr>
          <w:p>
            <w:pPr>
              <w:jc w:val="left"/>
              <w:rPr>
                <w:rFonts w:hint="eastAsia" w:ascii="仿宋_GB2312" w:hAnsi="仿宋_GB2312" w:eastAsia="仿宋_GB2312" w:cs="仿宋_GB2312"/>
                <w:sz w:val="28"/>
                <w:szCs w:val="28"/>
              </w:rPr>
            </w:pPr>
            <w:r>
              <w:rPr>
                <w:rFonts w:hint="eastAsia" w:ascii="仿宋_GB2312" w:hAnsi="仿宋_GB2312" w:eastAsia="仿宋_GB2312" w:cs="仿宋_GB2312"/>
                <w:sz w:val="24"/>
              </w:rPr>
              <w:t>其中，招聘有相关专业技术资格的人数</w:t>
            </w: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97</w:t>
            </w:r>
          </w:p>
        </w:tc>
        <w:tc>
          <w:tcPr>
            <w:tcW w:w="1824"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110</w:t>
            </w:r>
          </w:p>
        </w:tc>
        <w:tc>
          <w:tcPr>
            <w:tcW w:w="1875"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181</w:t>
            </w:r>
          </w:p>
        </w:tc>
        <w:tc>
          <w:tcPr>
            <w:tcW w:w="2085"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130"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4"/>
                <w:szCs w:val="22"/>
              </w:rPr>
            </w:pPr>
            <w:r>
              <w:rPr>
                <w:rFonts w:hint="eastAsia" w:ascii="仿宋_GB2312" w:hAnsi="仿宋_GB2312" w:eastAsia="仿宋_GB2312" w:cs="仿宋_GB2312"/>
                <w:sz w:val="24"/>
              </w:rPr>
              <w:t>中职学校生师比（在校生数/专任教师数）</w:t>
            </w:r>
          </w:p>
        </w:tc>
        <w:tc>
          <w:tcPr>
            <w:tcW w:w="1721" w:type="dxa"/>
            <w:tcBorders>
              <w:top w:val="single" w:color="auto" w:sz="4" w:space="0"/>
              <w:left w:val="single" w:color="auto" w:sz="4" w:space="0"/>
              <w:bottom w:val="single" w:color="auto" w:sz="4" w:space="0"/>
              <w:right w:val="single" w:color="auto" w:sz="4" w:space="0"/>
            </w:tcBorders>
            <w:vAlign w:val="center"/>
          </w:tcPr>
          <w:p>
            <w:pPr>
              <w:tabs>
                <w:tab w:val="left" w:pos="140"/>
              </w:tabs>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22.23:1</w:t>
            </w:r>
          </w:p>
        </w:tc>
        <w:tc>
          <w:tcPr>
            <w:tcW w:w="18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21.25:1</w:t>
            </w:r>
          </w:p>
        </w:tc>
        <w:tc>
          <w:tcPr>
            <w:tcW w:w="18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20.33:1</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19.64:1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130"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4"/>
                <w:szCs w:val="22"/>
              </w:rPr>
            </w:pPr>
            <w:r>
              <w:rPr>
                <w:rFonts w:hint="eastAsia" w:ascii="仿宋_GB2312" w:hAnsi="仿宋_GB2312" w:eastAsia="仿宋_GB2312" w:cs="仿宋_GB2312"/>
                <w:sz w:val="24"/>
              </w:rPr>
              <w:t>高职院校生师比（在校生数/专任教师数）</w:t>
            </w:r>
          </w:p>
        </w:tc>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25.95:1</w:t>
            </w:r>
          </w:p>
        </w:tc>
        <w:tc>
          <w:tcPr>
            <w:tcW w:w="18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23.62:1</w:t>
            </w:r>
          </w:p>
        </w:tc>
        <w:tc>
          <w:tcPr>
            <w:tcW w:w="18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24.29:1</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exact"/>
        </w:trPr>
        <w:tc>
          <w:tcPr>
            <w:tcW w:w="6130"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4"/>
                <w:szCs w:val="22"/>
              </w:rPr>
            </w:pPr>
            <w:r>
              <w:rPr>
                <w:rFonts w:hint="eastAsia" w:ascii="仿宋_GB2312" w:hAnsi="仿宋_GB2312" w:eastAsia="仿宋_GB2312" w:cs="仿宋_GB2312"/>
                <w:sz w:val="24"/>
              </w:rPr>
              <w:t>中职学校“双师型”教师比例（“双师型”教师数/专业课教师总数）</w:t>
            </w:r>
          </w:p>
        </w:tc>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59.94%</w:t>
            </w:r>
          </w:p>
        </w:tc>
        <w:tc>
          <w:tcPr>
            <w:tcW w:w="18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70.67%</w:t>
            </w:r>
          </w:p>
        </w:tc>
        <w:tc>
          <w:tcPr>
            <w:tcW w:w="18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74.93%</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trPr>
        <w:tc>
          <w:tcPr>
            <w:tcW w:w="6130"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4"/>
                <w:szCs w:val="22"/>
              </w:rPr>
            </w:pPr>
            <w:r>
              <w:rPr>
                <w:rFonts w:hint="eastAsia" w:ascii="仿宋_GB2312" w:hAnsi="仿宋_GB2312" w:eastAsia="仿宋_GB2312" w:cs="仿宋_GB2312"/>
                <w:sz w:val="24"/>
              </w:rPr>
              <w:t>高职院校“双师型”教师比例（“双师型”教师数/专业课教师总数）</w:t>
            </w:r>
          </w:p>
        </w:tc>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50.79%</w:t>
            </w:r>
          </w:p>
        </w:tc>
        <w:tc>
          <w:tcPr>
            <w:tcW w:w="18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63.82%</w:t>
            </w:r>
          </w:p>
        </w:tc>
        <w:tc>
          <w:tcPr>
            <w:tcW w:w="18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77.36%</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130"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4"/>
                <w:szCs w:val="22"/>
              </w:rPr>
            </w:pPr>
            <w:r>
              <w:rPr>
                <w:rFonts w:hint="eastAsia" w:ascii="仿宋_GB2312" w:hAnsi="仿宋_GB2312" w:eastAsia="仿宋_GB2312" w:cs="仿宋_GB2312"/>
                <w:sz w:val="24"/>
              </w:rPr>
              <w:t>职业院校高层次技术技能人才数量（人）</w:t>
            </w:r>
          </w:p>
        </w:tc>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40</w:t>
            </w:r>
          </w:p>
        </w:tc>
        <w:tc>
          <w:tcPr>
            <w:tcW w:w="182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56</w:t>
            </w:r>
          </w:p>
        </w:tc>
        <w:tc>
          <w:tcPr>
            <w:tcW w:w="187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72</w:t>
            </w:r>
          </w:p>
        </w:tc>
        <w:tc>
          <w:tcPr>
            <w:tcW w:w="20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83</w:t>
            </w:r>
          </w:p>
        </w:tc>
      </w:tr>
    </w:tbl>
    <w:p>
      <w:pPr>
        <w:spacing w:line="400" w:lineRule="exact"/>
        <w:ind w:firstLine="560" w:firstLineChars="200"/>
        <w:jc w:val="both"/>
        <w:rPr>
          <w:rFonts w:ascii="仿宋_GB2312" w:hAnsi="等线" w:eastAsia="仿宋_GB2312" w:cs="Times New Roman"/>
          <w:sz w:val="24"/>
          <w:szCs w:val="22"/>
        </w:rPr>
      </w:pPr>
      <w:r>
        <w:rPr>
          <w:rFonts w:hint="eastAsia" w:ascii="黑体" w:hAnsi="黑体" w:eastAsia="黑体" w:cs="Times New Roman"/>
          <w:sz w:val="28"/>
          <w:szCs w:val="28"/>
        </w:rPr>
        <w:t>备注：</w:t>
      </w:r>
      <w:r>
        <w:rPr>
          <w:rFonts w:hint="eastAsia" w:ascii="仿宋_GB2312" w:hAnsi="Times New Roman" w:eastAsia="仿宋_GB2312" w:cs="Times New Roman"/>
          <w:sz w:val="24"/>
        </w:rPr>
        <w:t>1.中职学校生师比为全市平均数。2.高层次技术技能人才包括首席技师、齐鲁工匠、技术能手、高级技师、高级工程师、高级会计师等。</w:t>
      </w:r>
    </w:p>
    <w:p>
      <w:pPr>
        <w:widowControl/>
        <w:jc w:val="both"/>
        <w:sectPr>
          <w:pgSz w:w="16838" w:h="11906" w:orient="landscape"/>
          <w:pgMar w:top="1587" w:right="1587" w:bottom="1587" w:left="1587" w:header="851" w:footer="992" w:gutter="0"/>
          <w:pgNumType w:fmt="numberInDash"/>
          <w:cols w:space="0" w:num="1"/>
          <w:rtlGutter w:val="0"/>
          <w:docGrid w:type="lines" w:linePitch="314" w:charSpace="0"/>
        </w:sectPr>
      </w:pPr>
    </w:p>
    <w:p>
      <w:pPr>
        <w:jc w:val="left"/>
        <w:rPr>
          <w:rFonts w:ascii="方正小标宋简体" w:hAnsi="黑体" w:eastAsia="方正小标宋简体" w:cs="Times New Roman"/>
          <w:sz w:val="32"/>
          <w:szCs w:val="32"/>
        </w:rPr>
      </w:pPr>
      <w:r>
        <w:rPr>
          <w:rFonts w:hint="eastAsia" w:ascii="黑体" w:hAnsi="黑体" w:eastAsia="黑体" w:cs="Times New Roman"/>
          <w:sz w:val="32"/>
          <w:szCs w:val="32"/>
        </w:rPr>
        <w:t>四、实训基地</w:t>
      </w:r>
    </w:p>
    <w:tbl>
      <w:tblPr>
        <w:tblStyle w:val="9"/>
        <w:tblW w:w="1366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5190"/>
        <w:gridCol w:w="2748"/>
        <w:gridCol w:w="1917"/>
        <w:gridCol w:w="1875"/>
        <w:gridCol w:w="1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trPr>
        <w:tc>
          <w:tcPr>
            <w:tcW w:w="5190"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8"/>
                <w:szCs w:val="28"/>
              </w:rPr>
            </w:pPr>
            <w:r>
              <w:rPr>
                <w:rFonts w:hint="eastAsia" w:ascii="黑体" w:hAnsi="黑体" w:eastAsia="黑体" w:cs="Times New Roman"/>
                <w:sz w:val="28"/>
                <w:szCs w:val="28"/>
              </w:rPr>
              <w:t>指标</w:t>
            </w:r>
          </w:p>
        </w:tc>
        <w:tc>
          <w:tcPr>
            <w:tcW w:w="2748"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8"/>
                <w:szCs w:val="28"/>
              </w:rPr>
            </w:pPr>
            <w:r>
              <w:rPr>
                <w:rFonts w:hint="eastAsia" w:ascii="黑体" w:hAnsi="黑体" w:eastAsia="黑体" w:cs="Times New Roman"/>
                <w:sz w:val="28"/>
                <w:szCs w:val="28"/>
              </w:rPr>
              <w:t>现有基础（2019年）</w:t>
            </w:r>
          </w:p>
        </w:tc>
        <w:tc>
          <w:tcPr>
            <w:tcW w:w="1917"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8"/>
                <w:szCs w:val="28"/>
              </w:rPr>
            </w:pPr>
            <w:r>
              <w:rPr>
                <w:rFonts w:hint="eastAsia" w:ascii="黑体" w:hAnsi="黑体" w:eastAsia="黑体" w:cs="Times New Roman"/>
                <w:sz w:val="28"/>
                <w:szCs w:val="28"/>
              </w:rPr>
              <w:t>2020年</w:t>
            </w:r>
          </w:p>
        </w:tc>
        <w:tc>
          <w:tcPr>
            <w:tcW w:w="1875"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8"/>
                <w:szCs w:val="28"/>
              </w:rPr>
            </w:pPr>
            <w:r>
              <w:rPr>
                <w:rFonts w:hint="eastAsia" w:ascii="黑体" w:hAnsi="黑体" w:eastAsia="黑体" w:cs="Times New Roman"/>
                <w:sz w:val="28"/>
                <w:szCs w:val="28"/>
              </w:rPr>
              <w:t>2021年</w:t>
            </w:r>
          </w:p>
        </w:tc>
        <w:tc>
          <w:tcPr>
            <w:tcW w:w="1935"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cs="Times New Roman"/>
                <w:sz w:val="28"/>
                <w:szCs w:val="28"/>
              </w:rPr>
            </w:pPr>
            <w:r>
              <w:rPr>
                <w:rFonts w:hint="eastAsia" w:ascii="黑体" w:hAnsi="黑体" w:eastAsia="黑体" w:cs="Times New Roman"/>
                <w:sz w:val="28"/>
                <w:szCs w:val="28"/>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41" w:hRule="atLeast"/>
        </w:trPr>
        <w:tc>
          <w:tcPr>
            <w:tcW w:w="5190"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共享性的大型智能（仿真）实习实训基地（个）</w:t>
            </w:r>
          </w:p>
        </w:tc>
        <w:tc>
          <w:tcPr>
            <w:tcW w:w="27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p>
        </w:tc>
        <w:tc>
          <w:tcPr>
            <w:tcW w:w="19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p>
        </w:tc>
        <w:tc>
          <w:tcPr>
            <w:tcW w:w="19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trPr>
        <w:tc>
          <w:tcPr>
            <w:tcW w:w="5190"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校内实训基地（个）</w:t>
            </w:r>
          </w:p>
        </w:tc>
        <w:tc>
          <w:tcPr>
            <w:tcW w:w="27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35</w:t>
            </w:r>
          </w:p>
        </w:tc>
        <w:tc>
          <w:tcPr>
            <w:tcW w:w="19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41</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48</w:t>
            </w:r>
          </w:p>
        </w:tc>
        <w:tc>
          <w:tcPr>
            <w:tcW w:w="19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4" w:hRule="atLeast"/>
        </w:trPr>
        <w:tc>
          <w:tcPr>
            <w:tcW w:w="5190" w:type="dxa"/>
            <w:tcBorders>
              <w:top w:val="single" w:color="auto" w:sz="4" w:space="0"/>
              <w:left w:val="single" w:color="auto" w:sz="4" w:space="0"/>
              <w:bottom w:val="single" w:color="auto" w:sz="4" w:space="0"/>
              <w:right w:val="single" w:color="auto" w:sz="4" w:space="0"/>
            </w:tcBorders>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校内实训基地工位数（个）</w:t>
            </w:r>
          </w:p>
        </w:tc>
        <w:tc>
          <w:tcPr>
            <w:tcW w:w="27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19617</w:t>
            </w:r>
          </w:p>
        </w:tc>
        <w:tc>
          <w:tcPr>
            <w:tcW w:w="19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20708</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21703</w:t>
            </w:r>
          </w:p>
        </w:tc>
        <w:tc>
          <w:tcPr>
            <w:tcW w:w="19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21723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trPr>
        <w:tc>
          <w:tcPr>
            <w:tcW w:w="5190" w:type="dxa"/>
            <w:tcBorders>
              <w:top w:val="single" w:color="auto" w:sz="4" w:space="0"/>
              <w:left w:val="single" w:color="auto" w:sz="4" w:space="0"/>
              <w:bottom w:val="single" w:color="auto" w:sz="4" w:space="0"/>
              <w:right w:val="single" w:color="auto" w:sz="4" w:space="0"/>
            </w:tcBorders>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校内实训基地生均工位数（个）</w:t>
            </w:r>
          </w:p>
        </w:tc>
        <w:tc>
          <w:tcPr>
            <w:tcW w:w="27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0.61</w:t>
            </w:r>
          </w:p>
        </w:tc>
        <w:tc>
          <w:tcPr>
            <w:tcW w:w="19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0.6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0.58</w:t>
            </w:r>
          </w:p>
        </w:tc>
        <w:tc>
          <w:tcPr>
            <w:tcW w:w="19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trPr>
        <w:tc>
          <w:tcPr>
            <w:tcW w:w="5190"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校内实习实训设备仪器总值（万元）</w:t>
            </w:r>
          </w:p>
        </w:tc>
        <w:tc>
          <w:tcPr>
            <w:tcW w:w="27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11542</w:t>
            </w:r>
          </w:p>
        </w:tc>
        <w:tc>
          <w:tcPr>
            <w:tcW w:w="19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12460</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13586</w:t>
            </w:r>
          </w:p>
        </w:tc>
        <w:tc>
          <w:tcPr>
            <w:tcW w:w="19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14800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trPr>
        <w:tc>
          <w:tcPr>
            <w:tcW w:w="5190"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校内生均实习实训设备仪器值（万元）</w:t>
            </w:r>
          </w:p>
        </w:tc>
        <w:tc>
          <w:tcPr>
            <w:tcW w:w="274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0.36</w:t>
            </w:r>
          </w:p>
        </w:tc>
        <w:tc>
          <w:tcPr>
            <w:tcW w:w="191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0.36</w:t>
            </w:r>
          </w:p>
        </w:tc>
        <w:tc>
          <w:tcPr>
            <w:tcW w:w="187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0.36</w:t>
            </w:r>
          </w:p>
        </w:tc>
        <w:tc>
          <w:tcPr>
            <w:tcW w:w="19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0.38</w:t>
            </w:r>
          </w:p>
        </w:tc>
      </w:tr>
    </w:tbl>
    <w:p>
      <w:pPr>
        <w:spacing w:line="400" w:lineRule="exact"/>
        <w:rPr>
          <w:rFonts w:ascii="仿宋_GB2312" w:hAnsi="等线" w:eastAsia="仿宋_GB2312" w:cs="Times New Roman"/>
          <w:sz w:val="28"/>
          <w:szCs w:val="28"/>
        </w:rPr>
      </w:pPr>
      <w:r>
        <w:rPr>
          <w:rFonts w:hint="eastAsia" w:ascii="黑体" w:hAnsi="黑体" w:eastAsia="黑体" w:cs="Times New Roman"/>
          <w:sz w:val="28"/>
          <w:szCs w:val="28"/>
        </w:rPr>
        <w:t>备注：</w:t>
      </w:r>
      <w:r>
        <w:rPr>
          <w:rFonts w:hint="eastAsia" w:ascii="仿宋_GB2312" w:hAnsi="Times New Roman" w:eastAsia="仿宋_GB2312" w:cs="Times New Roman"/>
          <w:sz w:val="24"/>
        </w:rPr>
        <w:t>共享性的大型智能（仿真）实习实训基地建设应统筹考虑全市校内和校外实训基地情况，避免重复建设。</w:t>
      </w:r>
    </w:p>
    <w:p>
      <w:pPr>
        <w:widowControl/>
        <w:jc w:val="left"/>
        <w:rPr>
          <w:rFonts w:ascii="仿宋_GB2312" w:eastAsia="仿宋_GB2312"/>
          <w:sz w:val="28"/>
          <w:szCs w:val="28"/>
        </w:rPr>
        <w:sectPr>
          <w:pgSz w:w="16838" w:h="11906" w:orient="landscape"/>
          <w:pgMar w:top="1587" w:right="1587" w:bottom="1587" w:left="1587" w:header="851" w:footer="992" w:gutter="0"/>
          <w:pgNumType w:fmt="numberInDash"/>
          <w:cols w:space="0" w:num="1"/>
          <w:rtlGutter w:val="0"/>
          <w:docGrid w:type="lines" w:linePitch="314" w:charSpace="0"/>
        </w:sectPr>
      </w:pPr>
    </w:p>
    <w:p>
      <w:pPr>
        <w:jc w:val="left"/>
        <w:rPr>
          <w:rFonts w:ascii="方正小标宋简体" w:hAnsi="黑体" w:eastAsia="方正小标宋简体" w:cs="Times New Roman"/>
          <w:sz w:val="32"/>
          <w:szCs w:val="32"/>
        </w:rPr>
      </w:pPr>
      <w:r>
        <w:rPr>
          <w:rFonts w:hint="eastAsia" w:ascii="黑体" w:hAnsi="黑体" w:eastAsia="黑体" w:cs="Times New Roman"/>
          <w:sz w:val="32"/>
          <w:szCs w:val="32"/>
        </w:rPr>
        <w:t>五、经费投入</w:t>
      </w:r>
    </w:p>
    <w:tbl>
      <w:tblPr>
        <w:tblStyle w:val="9"/>
        <w:tblW w:w="13614" w:type="dxa"/>
        <w:tblInd w:w="1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9"/>
        <w:gridCol w:w="2226"/>
        <w:gridCol w:w="1449"/>
        <w:gridCol w:w="1725"/>
        <w:gridCol w:w="1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黑体" w:hAnsi="黑体" w:eastAsia="黑体" w:cs="Times New Roman"/>
                <w:sz w:val="24"/>
                <w:szCs w:val="22"/>
              </w:rPr>
            </w:pPr>
            <w:r>
              <w:rPr>
                <w:rFonts w:hint="eastAsia" w:ascii="黑体" w:hAnsi="黑体" w:eastAsia="黑体" w:cs="Times New Roman"/>
                <w:sz w:val="24"/>
              </w:rPr>
              <w:t>指标</w:t>
            </w:r>
          </w:p>
        </w:tc>
        <w:tc>
          <w:tcPr>
            <w:tcW w:w="222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黑体" w:hAnsi="黑体" w:eastAsia="黑体" w:cs="Times New Roman"/>
                <w:sz w:val="24"/>
              </w:rPr>
            </w:pPr>
            <w:r>
              <w:rPr>
                <w:rFonts w:hint="eastAsia" w:ascii="黑体" w:hAnsi="黑体" w:eastAsia="黑体" w:cs="Times New Roman"/>
                <w:sz w:val="24"/>
              </w:rPr>
              <w:t>现有基础（2019年）</w:t>
            </w:r>
          </w:p>
        </w:tc>
        <w:tc>
          <w:tcPr>
            <w:tcW w:w="144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黑体" w:hAnsi="黑体" w:eastAsia="黑体" w:cs="Times New Roman"/>
                <w:sz w:val="24"/>
              </w:rPr>
            </w:pPr>
            <w:r>
              <w:rPr>
                <w:rFonts w:hint="eastAsia" w:ascii="黑体" w:hAnsi="黑体" w:eastAsia="黑体" w:cs="Times New Roman"/>
                <w:sz w:val="24"/>
              </w:rPr>
              <w:t>2020年</w:t>
            </w:r>
          </w:p>
        </w:tc>
        <w:tc>
          <w:tcPr>
            <w:tcW w:w="172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黑体" w:hAnsi="黑体" w:eastAsia="黑体" w:cs="Times New Roman"/>
                <w:sz w:val="24"/>
              </w:rPr>
            </w:pPr>
            <w:r>
              <w:rPr>
                <w:rFonts w:hint="eastAsia" w:ascii="黑体" w:hAnsi="黑体" w:eastAsia="黑体" w:cs="Times New Roman"/>
                <w:sz w:val="24"/>
              </w:rPr>
              <w:t>2021年</w:t>
            </w:r>
          </w:p>
        </w:tc>
        <w:tc>
          <w:tcPr>
            <w:tcW w:w="1845"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黑体" w:hAnsi="黑体" w:eastAsia="黑体" w:cs="Times New Roman"/>
                <w:sz w:val="24"/>
              </w:rPr>
            </w:pPr>
            <w:r>
              <w:rPr>
                <w:rFonts w:hint="eastAsia" w:ascii="黑体" w:hAnsi="黑体" w:eastAsia="黑体" w:cs="Times New Roman"/>
                <w:sz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等线" w:eastAsia="仿宋_GB2312" w:cs="Times New Roman"/>
                <w:sz w:val="28"/>
                <w:szCs w:val="28"/>
              </w:rPr>
            </w:pPr>
            <w:r>
              <w:rPr>
                <w:rFonts w:hint="eastAsia" w:ascii="仿宋_GB2312" w:hAnsi="Times New Roman" w:eastAsia="仿宋_GB2312" w:cs="Times New Roman"/>
                <w:sz w:val="28"/>
                <w:szCs w:val="28"/>
              </w:rPr>
              <w:t>财政性职业教育经费总投入（万元）</w:t>
            </w:r>
          </w:p>
        </w:tc>
        <w:tc>
          <w:tcPr>
            <w:tcW w:w="222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18255.45</w:t>
            </w: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18438</w:t>
            </w: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18622.38</w:t>
            </w:r>
          </w:p>
        </w:tc>
        <w:tc>
          <w:tcPr>
            <w:tcW w:w="18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18808.61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财政性职业教育经费总投入占公共财政支出比例</w:t>
            </w:r>
          </w:p>
        </w:tc>
        <w:tc>
          <w:tcPr>
            <w:tcW w:w="222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8.7%</w:t>
            </w: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8.8%</w:t>
            </w: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8.9%</w:t>
            </w:r>
          </w:p>
        </w:tc>
        <w:tc>
          <w:tcPr>
            <w:tcW w:w="18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市本级职业教育专项经费投入（万元）</w:t>
            </w:r>
          </w:p>
        </w:tc>
        <w:tc>
          <w:tcPr>
            <w:tcW w:w="222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c>
          <w:tcPr>
            <w:tcW w:w="18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县级职业教育专项经费投入（万元）</w:t>
            </w:r>
          </w:p>
        </w:tc>
        <w:tc>
          <w:tcPr>
            <w:tcW w:w="222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500</w:t>
            </w: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1200</w:t>
            </w: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1300</w:t>
            </w:r>
          </w:p>
        </w:tc>
        <w:tc>
          <w:tcPr>
            <w:tcW w:w="18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省市共建职业院校经费投入（万元）</w:t>
            </w:r>
          </w:p>
        </w:tc>
        <w:tc>
          <w:tcPr>
            <w:tcW w:w="222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c>
          <w:tcPr>
            <w:tcW w:w="18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中职教育吸引社会力量经费总投入（万元）</w:t>
            </w:r>
          </w:p>
        </w:tc>
        <w:tc>
          <w:tcPr>
            <w:tcW w:w="222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5500</w:t>
            </w: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3040</w:t>
            </w: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550</w:t>
            </w:r>
          </w:p>
        </w:tc>
        <w:tc>
          <w:tcPr>
            <w:tcW w:w="18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高职教育吸引社会力量经费总投入（万元）</w:t>
            </w:r>
          </w:p>
        </w:tc>
        <w:tc>
          <w:tcPr>
            <w:tcW w:w="222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c>
          <w:tcPr>
            <w:tcW w:w="144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c>
          <w:tcPr>
            <w:tcW w:w="17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c>
          <w:tcPr>
            <w:tcW w:w="184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中职财政投入总额（万元）</w:t>
            </w:r>
          </w:p>
        </w:tc>
        <w:tc>
          <w:tcPr>
            <w:tcW w:w="2226"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Times New Roman" w:eastAsia="仿宋_GB2312" w:cs="Times New Roman"/>
                <w:sz w:val="28"/>
                <w:szCs w:val="28"/>
              </w:rPr>
            </w:pPr>
            <w:r>
              <w:rPr>
                <w:rFonts w:ascii="仿宋_GB2312" w:hAnsi="Times New Roman" w:eastAsia="仿宋_GB2312" w:cs="Times New Roman"/>
                <w:sz w:val="28"/>
                <w:szCs w:val="28"/>
              </w:rPr>
              <w:t>2862.7</w:t>
            </w:r>
          </w:p>
        </w:tc>
        <w:tc>
          <w:tcPr>
            <w:tcW w:w="1449"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Times New Roman" w:eastAsia="仿宋_GB2312" w:cs="Times New Roman"/>
                <w:sz w:val="28"/>
                <w:szCs w:val="28"/>
              </w:rPr>
            </w:pPr>
            <w:r>
              <w:rPr>
                <w:rFonts w:ascii="仿宋_GB2312" w:hAnsi="Times New Roman" w:eastAsia="仿宋_GB2312" w:cs="Times New Roman"/>
                <w:sz w:val="28"/>
                <w:szCs w:val="28"/>
              </w:rPr>
              <w:t>2891.33</w:t>
            </w:r>
          </w:p>
        </w:tc>
        <w:tc>
          <w:tcPr>
            <w:tcW w:w="1725"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Times New Roman" w:eastAsia="仿宋_GB2312" w:cs="Times New Roman"/>
                <w:sz w:val="28"/>
                <w:szCs w:val="28"/>
              </w:rPr>
            </w:pPr>
            <w:r>
              <w:rPr>
                <w:rFonts w:ascii="仿宋_GB2312" w:hAnsi="Times New Roman" w:eastAsia="仿宋_GB2312" w:cs="Times New Roman"/>
                <w:sz w:val="28"/>
                <w:szCs w:val="28"/>
              </w:rPr>
              <w:t>2920.24</w:t>
            </w:r>
          </w:p>
        </w:tc>
        <w:tc>
          <w:tcPr>
            <w:tcW w:w="1845"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Times New Roman" w:eastAsia="仿宋_GB2312" w:cs="Times New Roman"/>
                <w:sz w:val="28"/>
                <w:szCs w:val="28"/>
              </w:rPr>
            </w:pPr>
            <w:r>
              <w:rPr>
                <w:rFonts w:ascii="仿宋_GB2312" w:hAnsi="Times New Roman" w:eastAsia="仿宋_GB2312" w:cs="Times New Roman"/>
                <w:sz w:val="28"/>
                <w:szCs w:val="28"/>
              </w:rPr>
              <w:t>2949.44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高职财政投入总额（万元）</w:t>
            </w:r>
          </w:p>
        </w:tc>
        <w:tc>
          <w:tcPr>
            <w:tcW w:w="2226"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13191</w:t>
            </w:r>
          </w:p>
        </w:tc>
        <w:tc>
          <w:tcPr>
            <w:tcW w:w="1449"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13200</w:t>
            </w:r>
          </w:p>
        </w:tc>
        <w:tc>
          <w:tcPr>
            <w:tcW w:w="1725"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13625</w:t>
            </w:r>
          </w:p>
        </w:tc>
        <w:tc>
          <w:tcPr>
            <w:tcW w:w="1845" w:type="dxa"/>
            <w:tcBorders>
              <w:top w:val="single" w:color="auto" w:sz="4" w:space="0"/>
              <w:left w:val="single" w:color="auto" w:sz="4" w:space="0"/>
              <w:bottom w:val="single" w:color="auto" w:sz="4" w:space="0"/>
              <w:right w:val="single" w:color="auto" w:sz="4" w:space="0"/>
            </w:tcBorders>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13843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中职生均拨款（万元）</w:t>
            </w:r>
          </w:p>
        </w:tc>
        <w:tc>
          <w:tcPr>
            <w:tcW w:w="222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0.26</w:t>
            </w:r>
          </w:p>
        </w:tc>
        <w:tc>
          <w:tcPr>
            <w:tcW w:w="144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0.27</w:t>
            </w:r>
          </w:p>
        </w:tc>
        <w:tc>
          <w:tcPr>
            <w:tcW w:w="172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0.28</w:t>
            </w:r>
          </w:p>
        </w:tc>
        <w:tc>
          <w:tcPr>
            <w:tcW w:w="184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6369"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仿宋_GB2312" w:hAnsi="Times New Roman" w:eastAsia="仿宋_GB2312" w:cs="Times New Roman"/>
                <w:sz w:val="28"/>
                <w:szCs w:val="28"/>
              </w:rPr>
            </w:pPr>
            <w:r>
              <w:rPr>
                <w:rFonts w:hint="eastAsia" w:ascii="仿宋_GB2312" w:hAnsi="Times New Roman" w:eastAsia="仿宋_GB2312" w:cs="Times New Roman"/>
                <w:sz w:val="28"/>
                <w:szCs w:val="28"/>
              </w:rPr>
              <w:t>高职生均拨款（万元）</w:t>
            </w:r>
          </w:p>
        </w:tc>
        <w:tc>
          <w:tcPr>
            <w:tcW w:w="222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1.2</w:t>
            </w:r>
          </w:p>
        </w:tc>
        <w:tc>
          <w:tcPr>
            <w:tcW w:w="1449"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1.21</w:t>
            </w:r>
          </w:p>
        </w:tc>
        <w:tc>
          <w:tcPr>
            <w:tcW w:w="172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1.22</w:t>
            </w:r>
          </w:p>
        </w:tc>
        <w:tc>
          <w:tcPr>
            <w:tcW w:w="1845"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1.23</w:t>
            </w:r>
          </w:p>
        </w:tc>
      </w:tr>
    </w:tbl>
    <w:p>
      <w:pPr>
        <w:spacing w:line="400" w:lineRule="exact"/>
        <w:ind w:firstLine="560" w:firstLineChars="200"/>
        <w:rPr>
          <w:rFonts w:ascii="仿宋_GB2312" w:hAnsi="等线" w:eastAsia="仿宋_GB2312" w:cs="Times New Roman"/>
          <w:sz w:val="28"/>
          <w:szCs w:val="28"/>
        </w:rPr>
      </w:pPr>
      <w:r>
        <w:rPr>
          <w:rFonts w:hint="eastAsia" w:ascii="黑体" w:hAnsi="黑体" w:eastAsia="黑体" w:cs="Times New Roman"/>
          <w:sz w:val="28"/>
          <w:szCs w:val="28"/>
        </w:rPr>
        <w:t>备注：</w:t>
      </w:r>
      <w:r>
        <w:rPr>
          <w:rFonts w:hint="eastAsia" w:ascii="仿宋_GB2312" w:hAnsi="Times New Roman" w:eastAsia="仿宋_GB2312" w:cs="Times New Roman"/>
          <w:sz w:val="24"/>
        </w:rPr>
        <w:t>中职生均拨款为全市平均数。</w:t>
      </w:r>
    </w:p>
    <w:p>
      <w:pPr>
        <w:spacing w:line="400" w:lineRule="exact"/>
        <w:rPr>
          <w:rFonts w:ascii="仿宋_GB2312" w:hAnsi="Times New Roman" w:eastAsia="仿宋_GB2312" w:cs="Times New Roman"/>
          <w:sz w:val="28"/>
          <w:szCs w:val="28"/>
        </w:rPr>
      </w:pPr>
    </w:p>
    <w:p>
      <w:pPr>
        <w:jc w:val="left"/>
        <w:rPr>
          <w:rFonts w:ascii="方正小标宋简体" w:hAnsi="黑体" w:eastAsia="方正小标宋简体" w:cs="Times New Roman"/>
          <w:sz w:val="32"/>
          <w:szCs w:val="32"/>
        </w:rPr>
      </w:pPr>
      <w:r>
        <w:rPr>
          <w:rFonts w:hint="eastAsia" w:ascii="黑体" w:hAnsi="黑体" w:eastAsia="黑体" w:cs="Times New Roman"/>
          <w:sz w:val="32"/>
          <w:szCs w:val="32"/>
        </w:rPr>
        <w:br w:type="page"/>
      </w:r>
      <w:r>
        <w:rPr>
          <w:rFonts w:hint="eastAsia" w:ascii="黑体" w:hAnsi="黑体" w:eastAsia="黑体" w:cs="Times New Roman"/>
          <w:sz w:val="32"/>
          <w:szCs w:val="32"/>
        </w:rPr>
        <w:t>六、社会培训</w:t>
      </w:r>
    </w:p>
    <w:tbl>
      <w:tblPr>
        <w:tblStyle w:val="9"/>
        <w:tblW w:w="135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4358"/>
        <w:gridCol w:w="2535"/>
        <w:gridCol w:w="2022"/>
        <w:gridCol w:w="2163"/>
        <w:gridCol w:w="2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jc w:val="center"/>
        </w:trPr>
        <w:tc>
          <w:tcPr>
            <w:tcW w:w="4358" w:type="dxa"/>
            <w:tcBorders>
              <w:top w:val="single" w:color="auto" w:sz="4" w:space="0"/>
              <w:left w:val="single" w:color="auto" w:sz="4" w:space="0"/>
              <w:bottom w:val="single" w:color="auto" w:sz="4" w:space="0"/>
              <w:right w:val="single" w:color="auto" w:sz="4" w:space="0"/>
            </w:tcBorders>
            <w:vAlign w:val="center"/>
          </w:tcPr>
          <w:p>
            <w:pPr>
              <w:jc w:val="center"/>
              <w:rPr>
                <w:rFonts w:ascii="等线" w:hAnsi="等线" w:eastAsia="等线" w:cs="Times New Roman"/>
                <w:szCs w:val="22"/>
              </w:rPr>
            </w:pPr>
            <w:r>
              <w:rPr>
                <w:rFonts w:hint="eastAsia" w:ascii="黑体" w:hAnsi="黑体" w:eastAsia="黑体" w:cs="Times New Roman"/>
                <w:sz w:val="28"/>
                <w:szCs w:val="28"/>
              </w:rPr>
              <w:t>指标</w:t>
            </w:r>
          </w:p>
        </w:tc>
        <w:tc>
          <w:tcPr>
            <w:tcW w:w="25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宋体" w:cs="Times New Roman"/>
              </w:rPr>
            </w:pPr>
            <w:r>
              <w:rPr>
                <w:rFonts w:hint="eastAsia" w:ascii="黑体" w:hAnsi="黑体" w:eastAsia="黑体" w:cs="Times New Roman"/>
                <w:sz w:val="28"/>
                <w:szCs w:val="28"/>
              </w:rPr>
              <w:t>现有基础（2019年）</w:t>
            </w:r>
          </w:p>
        </w:tc>
        <w:tc>
          <w:tcPr>
            <w:tcW w:w="2022"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rPr>
            </w:pPr>
            <w:r>
              <w:rPr>
                <w:rFonts w:hint="eastAsia" w:ascii="黑体" w:hAnsi="黑体" w:eastAsia="黑体" w:cs="Times New Roman"/>
                <w:sz w:val="28"/>
                <w:szCs w:val="28"/>
              </w:rPr>
              <w:t>2020年</w:t>
            </w: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rPr>
            </w:pPr>
            <w:r>
              <w:rPr>
                <w:rFonts w:hint="eastAsia" w:ascii="黑体" w:hAnsi="黑体" w:eastAsia="黑体" w:cs="Times New Roman"/>
                <w:sz w:val="28"/>
                <w:szCs w:val="28"/>
              </w:rPr>
              <w:t>2021年</w:t>
            </w:r>
          </w:p>
        </w:tc>
        <w:tc>
          <w:tcPr>
            <w:tcW w:w="25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rPr>
            </w:pPr>
            <w:r>
              <w:rPr>
                <w:rFonts w:hint="eastAsia" w:ascii="黑体" w:hAnsi="黑体" w:eastAsia="黑体" w:cs="Times New Roman"/>
                <w:sz w:val="28"/>
                <w:szCs w:val="28"/>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jc w:val="center"/>
        </w:trPr>
        <w:tc>
          <w:tcPr>
            <w:tcW w:w="4358" w:type="dxa"/>
            <w:tcBorders>
              <w:top w:val="single" w:color="auto" w:sz="4" w:space="0"/>
              <w:left w:val="single" w:color="auto" w:sz="4" w:space="0"/>
              <w:bottom w:val="single" w:color="auto" w:sz="4" w:space="0"/>
              <w:right w:val="single" w:color="auto" w:sz="4" w:space="0"/>
            </w:tcBorders>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培训规模（人日）</w:t>
            </w:r>
          </w:p>
        </w:tc>
        <w:tc>
          <w:tcPr>
            <w:tcW w:w="2535" w:type="dxa"/>
            <w:tcBorders>
              <w:top w:val="single" w:color="auto" w:sz="4" w:space="0"/>
              <w:left w:val="single" w:color="auto" w:sz="4" w:space="0"/>
              <w:bottom w:val="single" w:color="auto" w:sz="4" w:space="0"/>
              <w:right w:val="single" w:color="auto" w:sz="4" w:space="0"/>
            </w:tcBorders>
            <w:vAlign w:val="center"/>
          </w:tcPr>
          <w:p>
            <w:pPr>
              <w:ind w:firstLine="280" w:firstLineChars="1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13200</w:t>
            </w:r>
          </w:p>
        </w:tc>
        <w:tc>
          <w:tcPr>
            <w:tcW w:w="202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16000</w:t>
            </w: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18000</w:t>
            </w:r>
          </w:p>
        </w:tc>
        <w:tc>
          <w:tcPr>
            <w:tcW w:w="25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jc w:val="center"/>
        </w:trPr>
        <w:tc>
          <w:tcPr>
            <w:tcW w:w="4358"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培训规模与全日制在校生比例</w:t>
            </w:r>
          </w:p>
        </w:tc>
        <w:tc>
          <w:tcPr>
            <w:tcW w:w="25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0.41:1</w:t>
            </w:r>
          </w:p>
        </w:tc>
        <w:tc>
          <w:tcPr>
            <w:tcW w:w="202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0.46:1</w:t>
            </w:r>
          </w:p>
        </w:tc>
        <w:tc>
          <w:tcPr>
            <w:tcW w:w="216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0.46:1</w:t>
            </w:r>
          </w:p>
        </w:tc>
        <w:tc>
          <w:tcPr>
            <w:tcW w:w="25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0.47:1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jc w:val="center"/>
        </w:trPr>
        <w:tc>
          <w:tcPr>
            <w:tcW w:w="4358"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承担补贴性培训规模（人日）</w:t>
            </w:r>
          </w:p>
        </w:tc>
        <w:tc>
          <w:tcPr>
            <w:tcW w:w="2535" w:type="dxa"/>
            <w:tcBorders>
              <w:top w:val="single" w:color="auto" w:sz="4" w:space="0"/>
              <w:left w:val="single" w:color="auto" w:sz="4" w:space="0"/>
              <w:bottom w:val="single" w:color="auto" w:sz="4" w:space="0"/>
              <w:right w:val="single" w:color="auto" w:sz="4" w:space="0"/>
            </w:tcBorders>
            <w:vAlign w:val="center"/>
          </w:tcPr>
          <w:p>
            <w:pPr>
              <w:ind w:firstLine="280" w:firstLineChars="10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7200</w:t>
            </w:r>
          </w:p>
        </w:tc>
        <w:tc>
          <w:tcPr>
            <w:tcW w:w="202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8000</w:t>
            </w: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10000</w:t>
            </w:r>
          </w:p>
        </w:tc>
        <w:tc>
          <w:tcPr>
            <w:tcW w:w="25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jc w:val="center"/>
        </w:trPr>
        <w:tc>
          <w:tcPr>
            <w:tcW w:w="4358" w:type="dxa"/>
            <w:tcBorders>
              <w:top w:val="single" w:color="auto" w:sz="4" w:space="0"/>
              <w:left w:val="single" w:color="auto" w:sz="4" w:space="0"/>
              <w:bottom w:val="single" w:color="auto" w:sz="4" w:space="0"/>
              <w:right w:val="single" w:color="auto" w:sz="4" w:space="0"/>
            </w:tcBorders>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培训到款额（万元）</w:t>
            </w: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176.1</w:t>
            </w:r>
          </w:p>
        </w:tc>
        <w:tc>
          <w:tcPr>
            <w:tcW w:w="202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177.86</w:t>
            </w: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179.64</w:t>
            </w:r>
          </w:p>
        </w:tc>
        <w:tc>
          <w:tcPr>
            <w:tcW w:w="250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0" w:hRule="atLeast"/>
          <w:jc w:val="center"/>
        </w:trPr>
        <w:tc>
          <w:tcPr>
            <w:tcW w:w="4358" w:type="dxa"/>
            <w:tcBorders>
              <w:top w:val="single" w:color="auto" w:sz="4" w:space="0"/>
              <w:left w:val="single" w:color="auto" w:sz="4" w:space="0"/>
              <w:bottom w:val="single" w:color="auto" w:sz="4" w:space="0"/>
              <w:right w:val="single" w:color="auto" w:sz="4" w:space="0"/>
            </w:tcBorders>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退役军人、下岗失业人员、去产能分流职工、农民工、建档立卡贫困劳动力、残疾人等培训规模（人日）</w:t>
            </w:r>
          </w:p>
        </w:tc>
        <w:tc>
          <w:tcPr>
            <w:tcW w:w="25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8380</w:t>
            </w:r>
          </w:p>
        </w:tc>
        <w:tc>
          <w:tcPr>
            <w:tcW w:w="202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10000</w:t>
            </w:r>
          </w:p>
        </w:tc>
        <w:tc>
          <w:tcPr>
            <w:tcW w:w="216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12000</w:t>
            </w:r>
          </w:p>
        </w:tc>
        <w:tc>
          <w:tcPr>
            <w:tcW w:w="25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14000</w:t>
            </w:r>
          </w:p>
        </w:tc>
      </w:tr>
    </w:tbl>
    <w:p>
      <w:pPr>
        <w:spacing w:line="400" w:lineRule="exact"/>
        <w:rPr>
          <w:rFonts w:ascii="仿宋_GB2312" w:hAnsi="等线" w:eastAsia="仿宋_GB2312" w:cs="Times New Roman"/>
          <w:sz w:val="32"/>
          <w:szCs w:val="32"/>
        </w:rPr>
      </w:pPr>
    </w:p>
    <w:p>
      <w:pPr>
        <w:spacing w:line="580" w:lineRule="exact"/>
        <w:jc w:val="center"/>
        <w:rPr>
          <w:rFonts w:ascii="方正小标宋简体" w:hAnsi="Times New Roman" w:eastAsia="方正小标宋简体" w:cs="Times New Roman"/>
          <w:spacing w:val="-8"/>
          <w:sz w:val="44"/>
          <w:szCs w:val="44"/>
        </w:rPr>
      </w:pPr>
    </w:p>
    <w:p>
      <w:pPr>
        <w:pStyle w:val="8"/>
        <w:widowControl/>
        <w:spacing w:before="0" w:beforeAutospacing="0" w:after="0" w:afterAutospacing="0" w:line="560" w:lineRule="exact"/>
        <w:ind w:firstLine="5280" w:firstLineChars="1650"/>
        <w:jc w:val="both"/>
        <w:rPr>
          <w:rFonts w:ascii="仿宋_GB2312" w:hAnsi="仿宋_GB2312" w:eastAsia="仿宋_GB2312" w:cs="仿宋_GB2312"/>
          <w:snapToGrid w:val="0"/>
          <w:sz w:val="32"/>
          <w:szCs w:val="32"/>
        </w:rPr>
      </w:pPr>
    </w:p>
    <w:p>
      <w:pPr>
        <w:pStyle w:val="8"/>
        <w:widowControl/>
        <w:spacing w:before="0" w:beforeAutospacing="0" w:after="0" w:afterAutospacing="0" w:line="560" w:lineRule="exact"/>
        <w:ind w:firstLine="5280" w:firstLineChars="1650"/>
        <w:jc w:val="both"/>
        <w:rPr>
          <w:rFonts w:ascii="仿宋_GB2312" w:hAnsi="仿宋_GB2312" w:eastAsia="仿宋_GB2312" w:cs="仿宋_GB2312"/>
          <w:snapToGrid w:val="0"/>
          <w:sz w:val="32"/>
          <w:szCs w:val="32"/>
        </w:rPr>
      </w:pPr>
    </w:p>
    <w:p>
      <w:pPr>
        <w:pStyle w:val="8"/>
        <w:widowControl/>
        <w:spacing w:before="0" w:beforeAutospacing="0" w:after="0" w:afterAutospacing="0" w:line="560" w:lineRule="exact"/>
        <w:ind w:firstLine="5280" w:firstLineChars="1650"/>
        <w:jc w:val="both"/>
        <w:rPr>
          <w:rFonts w:ascii="仿宋_GB2312" w:hAnsi="仿宋_GB2312" w:eastAsia="仿宋_GB2312" w:cs="仿宋_GB2312"/>
          <w:snapToGrid w:val="0"/>
          <w:sz w:val="32"/>
          <w:szCs w:val="32"/>
        </w:rPr>
      </w:pPr>
    </w:p>
    <w:p>
      <w:pPr>
        <w:pStyle w:val="8"/>
        <w:widowControl/>
        <w:spacing w:before="0" w:beforeAutospacing="0" w:after="0" w:afterAutospacing="0" w:line="560" w:lineRule="exact"/>
        <w:ind w:firstLine="5280" w:firstLineChars="1650"/>
        <w:jc w:val="both"/>
        <w:rPr>
          <w:rFonts w:ascii="仿宋_GB2312" w:hAnsi="仿宋_GB2312" w:eastAsia="仿宋_GB2312" w:cs="仿宋_GB2312"/>
          <w:snapToGrid w:val="0"/>
          <w:sz w:val="32"/>
          <w:szCs w:val="32"/>
        </w:rPr>
      </w:pPr>
    </w:p>
    <w:p>
      <w:pPr>
        <w:rPr>
          <w:rFonts w:ascii="黑体" w:hAnsi="黑体" w:eastAsia="黑体" w:cs="Times New Roman"/>
          <w:snapToGrid w:val="0"/>
          <w:kern w:val="0"/>
          <w:sz w:val="32"/>
          <w:szCs w:val="32"/>
        </w:rPr>
      </w:pPr>
      <w:r>
        <w:rPr>
          <w:rFonts w:hint="eastAsia" w:ascii="黑体" w:hAnsi="黑体" w:eastAsia="黑体" w:cs="Times New Roman"/>
          <w:sz w:val="32"/>
          <w:szCs w:val="32"/>
        </w:rPr>
        <w:t>附件3</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napToGrid w:val="0"/>
          <w:kern w:val="0"/>
          <w:sz w:val="44"/>
          <w:szCs w:val="44"/>
        </w:rPr>
      </w:pPr>
      <w:r>
        <w:rPr>
          <w:rFonts w:hint="eastAsia" w:ascii="方正小标宋简体" w:hAnsi="方正小标宋简体" w:eastAsia="方正小标宋简体" w:cs="方正小标宋简体"/>
          <w:snapToGrid w:val="0"/>
          <w:kern w:val="0"/>
          <w:sz w:val="44"/>
          <w:szCs w:val="44"/>
        </w:rPr>
        <w:t>重点突破项目清单</w:t>
      </w:r>
    </w:p>
    <w:tbl>
      <w:tblPr>
        <w:tblStyle w:val="10"/>
        <w:tblW w:w="13614" w:type="dxa"/>
        <w:tblInd w:w="1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0"/>
        <w:gridCol w:w="8415"/>
        <w:gridCol w:w="1470"/>
        <w:gridCol w:w="1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2430" w:type="dxa"/>
          </w:tcPr>
          <w:p>
            <w:pPr>
              <w:jc w:val="center"/>
              <w:rPr>
                <w:rFonts w:ascii="黑体" w:hAnsi="黑体" w:eastAsia="黑体" w:cs="Times New Roman"/>
                <w:color w:val="000000"/>
                <w:sz w:val="28"/>
                <w:szCs w:val="28"/>
              </w:rPr>
            </w:pPr>
            <w:r>
              <w:rPr>
                <w:rFonts w:hint="eastAsia" w:ascii="黑体" w:hAnsi="黑体" w:eastAsia="黑体" w:cs="Times New Roman"/>
                <w:sz w:val="28"/>
                <w:szCs w:val="28"/>
              </w:rPr>
              <w:t>项目名称</w:t>
            </w:r>
          </w:p>
        </w:tc>
        <w:tc>
          <w:tcPr>
            <w:tcW w:w="8415" w:type="dxa"/>
          </w:tcPr>
          <w:p>
            <w:pPr>
              <w:jc w:val="center"/>
              <w:rPr>
                <w:rFonts w:ascii="黑体" w:hAnsi="黑体" w:eastAsia="黑体" w:cs="Times New Roman"/>
                <w:sz w:val="28"/>
                <w:szCs w:val="28"/>
              </w:rPr>
            </w:pPr>
            <w:r>
              <w:rPr>
                <w:rFonts w:hint="eastAsia" w:ascii="黑体" w:hAnsi="黑体" w:eastAsia="黑体" w:cs="Times New Roman"/>
                <w:sz w:val="28"/>
                <w:szCs w:val="28"/>
              </w:rPr>
              <w:t>主要内容及措施</w:t>
            </w:r>
          </w:p>
        </w:tc>
        <w:tc>
          <w:tcPr>
            <w:tcW w:w="1470" w:type="dxa"/>
          </w:tcPr>
          <w:p>
            <w:pPr>
              <w:jc w:val="center"/>
              <w:rPr>
                <w:rFonts w:ascii="黑体" w:hAnsi="黑体" w:eastAsia="黑体" w:cs="Times New Roman"/>
                <w:sz w:val="28"/>
                <w:szCs w:val="28"/>
              </w:rPr>
            </w:pPr>
            <w:r>
              <w:rPr>
                <w:rFonts w:hint="eastAsia" w:ascii="黑体" w:hAnsi="黑体" w:eastAsia="黑体" w:cs="Times New Roman"/>
                <w:sz w:val="28"/>
                <w:szCs w:val="28"/>
              </w:rPr>
              <w:t>完成时限</w:t>
            </w:r>
          </w:p>
        </w:tc>
        <w:tc>
          <w:tcPr>
            <w:tcW w:w="1299" w:type="dxa"/>
          </w:tcPr>
          <w:p>
            <w:pPr>
              <w:jc w:val="center"/>
              <w:rPr>
                <w:rFonts w:ascii="黑体" w:hAnsi="黑体" w:eastAsia="黑体" w:cs="Times New Roman"/>
                <w:sz w:val="28"/>
                <w:szCs w:val="28"/>
              </w:rPr>
            </w:pPr>
            <w:r>
              <w:rPr>
                <w:rFonts w:hint="eastAsia" w:ascii="黑体" w:hAnsi="黑体" w:eastAsia="黑体" w:cs="Times New Roman"/>
                <w:sz w:val="28"/>
                <w:szCs w:val="28"/>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2" w:hRule="atLeast"/>
        </w:trPr>
        <w:tc>
          <w:tcPr>
            <w:tcW w:w="2430"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滕州鲁班纪念馆升级改造项目</w:t>
            </w:r>
          </w:p>
        </w:tc>
        <w:tc>
          <w:tcPr>
            <w:tcW w:w="8415" w:type="dxa"/>
            <w:vAlign w:val="center"/>
          </w:tcPr>
          <w:p>
            <w:pPr>
              <w:spacing w:line="500" w:lineRule="exact"/>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运用新型展示手段结合鲁班精神和鲁班文化，对鲁班纪念馆进行全面升级改造，布展面积共3层约4000平米，</w:t>
            </w:r>
            <w:r>
              <w:rPr>
                <w:rFonts w:hint="eastAsia" w:ascii="仿宋_GB2312" w:hAnsi="仿宋_GB2312" w:eastAsia="仿宋_GB2312" w:cs="仿宋_GB2312"/>
                <w:color w:val="000000"/>
                <w:kern w:val="0"/>
                <w:sz w:val="28"/>
                <w:szCs w:val="28"/>
              </w:rPr>
              <w:t>资金来源为市财政专项资金及申报中央、省、市重大项目专项资金。</w:t>
            </w:r>
            <w:r>
              <w:rPr>
                <w:rFonts w:hint="eastAsia" w:ascii="仿宋_GB2312" w:hAnsi="仿宋_GB2312" w:eastAsia="仿宋_GB2312" w:cs="仿宋_GB2312"/>
                <w:sz w:val="28"/>
                <w:szCs w:val="28"/>
              </w:rPr>
              <w:t>升级改造后的鲁班纪念馆成为有特色有吸引力的文化旅游体验纪念馆，成为</w:t>
            </w:r>
            <w:r>
              <w:rPr>
                <w:rFonts w:hint="eastAsia" w:ascii="仿宋_GB2312" w:hAnsi="仿宋_GB2312" w:eastAsia="仿宋_GB2312" w:cs="仿宋_GB2312"/>
                <w:color w:val="000000"/>
                <w:kern w:val="0"/>
                <w:sz w:val="28"/>
                <w:szCs w:val="28"/>
              </w:rPr>
              <w:t>国家级历史文化展馆，成为滕州的一张国际名片。</w:t>
            </w:r>
          </w:p>
        </w:tc>
        <w:tc>
          <w:tcPr>
            <w:tcW w:w="1470"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2022年底</w:t>
            </w:r>
          </w:p>
        </w:tc>
        <w:tc>
          <w:tcPr>
            <w:tcW w:w="1299"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朱晏辰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trPr>
        <w:tc>
          <w:tcPr>
            <w:tcW w:w="2430"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职业教育创新发展高地建设资金筹措与管理</w:t>
            </w:r>
          </w:p>
        </w:tc>
        <w:tc>
          <w:tcPr>
            <w:tcW w:w="8415"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多方筹措资金，完善经费长效稳定保障机制。持续加大职业教育投入，坚持新增教育经费向职业教育倾斜。加大对公共汽车实训基地投入，着力防范职业院校办学风险，制定化解公办职业院校枣庄科技职业学院债务计划，2022年底，化解债务清零。</w:t>
            </w:r>
          </w:p>
        </w:tc>
        <w:tc>
          <w:tcPr>
            <w:tcW w:w="1470"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2022年底</w:t>
            </w:r>
          </w:p>
        </w:tc>
        <w:tc>
          <w:tcPr>
            <w:tcW w:w="1299"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王次青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trPr>
        <w:tc>
          <w:tcPr>
            <w:tcW w:w="2430"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整体提升辖区内职业教育院校办学条件水平</w:t>
            </w:r>
          </w:p>
        </w:tc>
        <w:tc>
          <w:tcPr>
            <w:tcW w:w="8415" w:type="dxa"/>
            <w:vAlign w:val="center"/>
          </w:tcPr>
          <w:p>
            <w:pPr>
              <w:spacing w:line="500" w:lineRule="exact"/>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负责职业教育工作的统筹规划，协助做好重点项目稳步实施，协调其他有关部门在职责范围内，做好职业教育工作。到2022年底，整体提升职业院校办学条件，确保所有职业院校达到国家标准。</w:t>
            </w:r>
          </w:p>
        </w:tc>
        <w:tc>
          <w:tcPr>
            <w:tcW w:w="1470"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2022年底</w:t>
            </w:r>
          </w:p>
        </w:tc>
        <w:tc>
          <w:tcPr>
            <w:tcW w:w="1299" w:type="dxa"/>
            <w:vAlign w:val="center"/>
          </w:tcPr>
          <w:p>
            <w:pPr>
              <w:spacing w:line="50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杜孝玺</w:t>
            </w:r>
          </w:p>
        </w:tc>
      </w:tr>
    </w:tbl>
    <w:p>
      <w:pPr>
        <w:rPr>
          <w:rFonts w:ascii="仿宋_GB2312" w:hAnsi="仿宋_GB2312" w:eastAsia="仿宋_GB2312" w:cs="仿宋_GB2312"/>
          <w:snapToGrid w:val="0"/>
          <w:sz w:val="32"/>
          <w:szCs w:val="32"/>
        </w:rPr>
      </w:pPr>
    </w:p>
    <w:sectPr>
      <w:footerReference r:id="rId4" w:type="default"/>
      <w:pgSz w:w="16838" w:h="11906" w:orient="landscape"/>
      <w:pgMar w:top="1587" w:right="1587" w:bottom="1587"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ind w:right="360" w:firstLine="360"/>
      <w:rPr>
        <w:rFonts w:ascii="Times New Roman" w:hAnsi="Times New Roman" w:eastAsia="宋体"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24</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6"/>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24</w:t>
                    </w:r>
                    <w:r>
                      <w:rPr>
                        <w:rFonts w:hint="eastAsia" w:asciiTheme="minorEastAsia" w:hAnsiTheme="minorEastAsia" w:eastAsiaTheme="minorEastAsia" w:cstheme="minorEastAsia"/>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top</wp:align>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Bdr>
                              <w:between w:val="none" w:color="auto" w:sz="0" w:space="0"/>
                            </w:pBdr>
                          </w:pPr>
                          <w:r>
                            <w:rPr>
                              <w:rFonts w:hint="eastAsia" w:ascii="宋体" w:hAnsi="宋体"/>
                              <w:sz w:val="24"/>
                              <w:szCs w:val="24"/>
                            </w:rPr>
                            <w:fldChar w:fldCharType="begin"/>
                          </w:r>
                          <w:r>
                            <w:rPr>
                              <w:rStyle w:val="12"/>
                              <w:rFonts w:hint="eastAsia" w:ascii="宋体" w:hAnsi="宋体"/>
                              <w:sz w:val="24"/>
                              <w:szCs w:val="24"/>
                            </w:rPr>
                            <w:instrText xml:space="preserve"> PAGE  </w:instrText>
                          </w:r>
                          <w:r>
                            <w:rPr>
                              <w:rFonts w:hint="eastAsia" w:ascii="宋体" w:hAnsi="宋体"/>
                              <w:sz w:val="24"/>
                              <w:szCs w:val="24"/>
                            </w:rPr>
                            <w:fldChar w:fldCharType="separate"/>
                          </w:r>
                          <w:r>
                            <w:rPr>
                              <w:rStyle w:val="12"/>
                              <w:rFonts w:ascii="宋体" w:hAnsi="宋体"/>
                              <w:sz w:val="24"/>
                              <w:szCs w:val="24"/>
                            </w:rPr>
                            <w:t>- 6 -</w:t>
                          </w:r>
                          <w:r>
                            <w:rPr>
                              <w:rFonts w:hint="eastAsia" w:ascii="宋体" w:hAnsi="宋体"/>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height:144pt;width:144pt;mso-position-horizontal:outside;mso-position-horizontal-relative:margin;mso-position-vertical:top;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pPr>
                      <w:pStyle w:val="6"/>
                      <w:pBdr>
                        <w:between w:val="none" w:color="auto" w:sz="0" w:space="0"/>
                      </w:pBdr>
                    </w:pPr>
                    <w:r>
                      <w:rPr>
                        <w:rFonts w:hint="eastAsia" w:ascii="宋体" w:hAnsi="宋体"/>
                        <w:sz w:val="24"/>
                        <w:szCs w:val="24"/>
                      </w:rPr>
                      <w:fldChar w:fldCharType="begin"/>
                    </w:r>
                    <w:r>
                      <w:rPr>
                        <w:rStyle w:val="12"/>
                        <w:rFonts w:hint="eastAsia" w:ascii="宋体" w:hAnsi="宋体"/>
                        <w:sz w:val="24"/>
                        <w:szCs w:val="24"/>
                      </w:rPr>
                      <w:instrText xml:space="preserve"> PAGE  </w:instrText>
                    </w:r>
                    <w:r>
                      <w:rPr>
                        <w:rFonts w:hint="eastAsia" w:ascii="宋体" w:hAnsi="宋体"/>
                        <w:sz w:val="24"/>
                        <w:szCs w:val="24"/>
                      </w:rPr>
                      <w:fldChar w:fldCharType="separate"/>
                    </w:r>
                    <w:r>
                      <w:rPr>
                        <w:rStyle w:val="12"/>
                        <w:rFonts w:ascii="宋体" w:hAnsi="宋体"/>
                        <w:sz w:val="24"/>
                        <w:szCs w:val="24"/>
                      </w:rPr>
                      <w:t>- 6 -</w:t>
                    </w:r>
                    <w:r>
                      <w:rPr>
                        <w:rFonts w:hint="eastAsia" w:ascii="宋体" w:hAnsi="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7"/>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41"/>
    <w:rsid w:val="00001A18"/>
    <w:rsid w:val="00005125"/>
    <w:rsid w:val="000272FF"/>
    <w:rsid w:val="00032E63"/>
    <w:rsid w:val="000538A3"/>
    <w:rsid w:val="000610BF"/>
    <w:rsid w:val="00081FF9"/>
    <w:rsid w:val="000C20BF"/>
    <w:rsid w:val="00105F9A"/>
    <w:rsid w:val="00106BFE"/>
    <w:rsid w:val="00107092"/>
    <w:rsid w:val="00114999"/>
    <w:rsid w:val="00116B30"/>
    <w:rsid w:val="00127E16"/>
    <w:rsid w:val="0014196A"/>
    <w:rsid w:val="00146716"/>
    <w:rsid w:val="00147776"/>
    <w:rsid w:val="001831A7"/>
    <w:rsid w:val="00192594"/>
    <w:rsid w:val="001938D9"/>
    <w:rsid w:val="002504FF"/>
    <w:rsid w:val="00256C74"/>
    <w:rsid w:val="00273224"/>
    <w:rsid w:val="0028514F"/>
    <w:rsid w:val="00286D27"/>
    <w:rsid w:val="00292025"/>
    <w:rsid w:val="002D453C"/>
    <w:rsid w:val="002D4E80"/>
    <w:rsid w:val="002E529A"/>
    <w:rsid w:val="003000C8"/>
    <w:rsid w:val="00321B5A"/>
    <w:rsid w:val="003270A4"/>
    <w:rsid w:val="0033622C"/>
    <w:rsid w:val="0036604C"/>
    <w:rsid w:val="00367344"/>
    <w:rsid w:val="003870D4"/>
    <w:rsid w:val="00394207"/>
    <w:rsid w:val="003957B2"/>
    <w:rsid w:val="003A4DFE"/>
    <w:rsid w:val="00400637"/>
    <w:rsid w:val="0042780C"/>
    <w:rsid w:val="00431661"/>
    <w:rsid w:val="00444462"/>
    <w:rsid w:val="004622E1"/>
    <w:rsid w:val="004740B3"/>
    <w:rsid w:val="0048199D"/>
    <w:rsid w:val="0048493E"/>
    <w:rsid w:val="004A391D"/>
    <w:rsid w:val="004B35CD"/>
    <w:rsid w:val="004F47A4"/>
    <w:rsid w:val="00524A5E"/>
    <w:rsid w:val="00535967"/>
    <w:rsid w:val="00537658"/>
    <w:rsid w:val="00553941"/>
    <w:rsid w:val="00562F07"/>
    <w:rsid w:val="0056306F"/>
    <w:rsid w:val="00587929"/>
    <w:rsid w:val="00593036"/>
    <w:rsid w:val="00595A16"/>
    <w:rsid w:val="005A5762"/>
    <w:rsid w:val="005B5690"/>
    <w:rsid w:val="005C2DE1"/>
    <w:rsid w:val="005C6EE3"/>
    <w:rsid w:val="005D00AE"/>
    <w:rsid w:val="006012DF"/>
    <w:rsid w:val="00611005"/>
    <w:rsid w:val="006160B0"/>
    <w:rsid w:val="00622E7C"/>
    <w:rsid w:val="00625076"/>
    <w:rsid w:val="00636DE8"/>
    <w:rsid w:val="00690BF4"/>
    <w:rsid w:val="006A26E0"/>
    <w:rsid w:val="006B7981"/>
    <w:rsid w:val="006D6B73"/>
    <w:rsid w:val="006E08FD"/>
    <w:rsid w:val="006F412E"/>
    <w:rsid w:val="006F722F"/>
    <w:rsid w:val="00724467"/>
    <w:rsid w:val="0072568E"/>
    <w:rsid w:val="00742AE8"/>
    <w:rsid w:val="007A1536"/>
    <w:rsid w:val="007A6682"/>
    <w:rsid w:val="007B6EEE"/>
    <w:rsid w:val="007C1CFE"/>
    <w:rsid w:val="007E4AC5"/>
    <w:rsid w:val="00843583"/>
    <w:rsid w:val="00844925"/>
    <w:rsid w:val="00846339"/>
    <w:rsid w:val="00847135"/>
    <w:rsid w:val="008474D1"/>
    <w:rsid w:val="00852109"/>
    <w:rsid w:val="008646D6"/>
    <w:rsid w:val="00891EFC"/>
    <w:rsid w:val="008C4406"/>
    <w:rsid w:val="008D0A8E"/>
    <w:rsid w:val="008E18E2"/>
    <w:rsid w:val="00921605"/>
    <w:rsid w:val="00925BB0"/>
    <w:rsid w:val="00937EF5"/>
    <w:rsid w:val="00940EC3"/>
    <w:rsid w:val="009866FF"/>
    <w:rsid w:val="009B123F"/>
    <w:rsid w:val="009C239A"/>
    <w:rsid w:val="009C2987"/>
    <w:rsid w:val="009C6010"/>
    <w:rsid w:val="009D6285"/>
    <w:rsid w:val="009D74AC"/>
    <w:rsid w:val="009F1B46"/>
    <w:rsid w:val="00A1325C"/>
    <w:rsid w:val="00A260A9"/>
    <w:rsid w:val="00A8046D"/>
    <w:rsid w:val="00A8530A"/>
    <w:rsid w:val="00A869F1"/>
    <w:rsid w:val="00A940D3"/>
    <w:rsid w:val="00AB2CF2"/>
    <w:rsid w:val="00AC5CC4"/>
    <w:rsid w:val="00B16358"/>
    <w:rsid w:val="00B516E7"/>
    <w:rsid w:val="00B52412"/>
    <w:rsid w:val="00B54CA8"/>
    <w:rsid w:val="00B55D9C"/>
    <w:rsid w:val="00B5696B"/>
    <w:rsid w:val="00B6088E"/>
    <w:rsid w:val="00B754E5"/>
    <w:rsid w:val="00B818FA"/>
    <w:rsid w:val="00B907D6"/>
    <w:rsid w:val="00B9294A"/>
    <w:rsid w:val="00BC584B"/>
    <w:rsid w:val="00BF4C29"/>
    <w:rsid w:val="00C63DC1"/>
    <w:rsid w:val="00C77B7E"/>
    <w:rsid w:val="00C8256F"/>
    <w:rsid w:val="00C9004D"/>
    <w:rsid w:val="00CA006F"/>
    <w:rsid w:val="00CD21F2"/>
    <w:rsid w:val="00CF168A"/>
    <w:rsid w:val="00CF65C3"/>
    <w:rsid w:val="00D007DD"/>
    <w:rsid w:val="00D541F5"/>
    <w:rsid w:val="00D571EB"/>
    <w:rsid w:val="00DA178F"/>
    <w:rsid w:val="00DA7538"/>
    <w:rsid w:val="00DB4A2B"/>
    <w:rsid w:val="00DB668F"/>
    <w:rsid w:val="00DC2ADB"/>
    <w:rsid w:val="00DE1F5A"/>
    <w:rsid w:val="00E257E5"/>
    <w:rsid w:val="00E40E2B"/>
    <w:rsid w:val="00E42880"/>
    <w:rsid w:val="00E5750F"/>
    <w:rsid w:val="00E57B56"/>
    <w:rsid w:val="00E644D8"/>
    <w:rsid w:val="00E82412"/>
    <w:rsid w:val="00E84201"/>
    <w:rsid w:val="00EB6674"/>
    <w:rsid w:val="00ED1F69"/>
    <w:rsid w:val="00ED3FFB"/>
    <w:rsid w:val="00F0237D"/>
    <w:rsid w:val="00F174CB"/>
    <w:rsid w:val="00F24521"/>
    <w:rsid w:val="00F2680F"/>
    <w:rsid w:val="00F32228"/>
    <w:rsid w:val="00F53FDD"/>
    <w:rsid w:val="00F56A99"/>
    <w:rsid w:val="00F77DB5"/>
    <w:rsid w:val="00F815A1"/>
    <w:rsid w:val="00F827CD"/>
    <w:rsid w:val="00F86BAF"/>
    <w:rsid w:val="00F95B4D"/>
    <w:rsid w:val="00F966FA"/>
    <w:rsid w:val="00FD75B8"/>
    <w:rsid w:val="00FD7887"/>
    <w:rsid w:val="00FE37AD"/>
    <w:rsid w:val="00FF333D"/>
    <w:rsid w:val="014F6FF5"/>
    <w:rsid w:val="02543D99"/>
    <w:rsid w:val="02BD1FC7"/>
    <w:rsid w:val="02F470B1"/>
    <w:rsid w:val="03941D67"/>
    <w:rsid w:val="03A15E5F"/>
    <w:rsid w:val="03B46682"/>
    <w:rsid w:val="03DA3CB0"/>
    <w:rsid w:val="044760EB"/>
    <w:rsid w:val="051406D1"/>
    <w:rsid w:val="05643513"/>
    <w:rsid w:val="05902962"/>
    <w:rsid w:val="063B56A2"/>
    <w:rsid w:val="064A7AF7"/>
    <w:rsid w:val="06712D22"/>
    <w:rsid w:val="0699632A"/>
    <w:rsid w:val="079C3827"/>
    <w:rsid w:val="07F031F5"/>
    <w:rsid w:val="090C1F55"/>
    <w:rsid w:val="09C36905"/>
    <w:rsid w:val="0A25488B"/>
    <w:rsid w:val="0A4E7F83"/>
    <w:rsid w:val="0A5043E1"/>
    <w:rsid w:val="0ABA7327"/>
    <w:rsid w:val="0B4621A1"/>
    <w:rsid w:val="0B485A8E"/>
    <w:rsid w:val="0C047AB0"/>
    <w:rsid w:val="0C3525FE"/>
    <w:rsid w:val="0C473E3F"/>
    <w:rsid w:val="0C724E5D"/>
    <w:rsid w:val="0D034810"/>
    <w:rsid w:val="0D1034BB"/>
    <w:rsid w:val="0D74295F"/>
    <w:rsid w:val="0DF9452F"/>
    <w:rsid w:val="0E176D63"/>
    <w:rsid w:val="0E2E7948"/>
    <w:rsid w:val="0E8472F4"/>
    <w:rsid w:val="0EB964DD"/>
    <w:rsid w:val="0EE46D4F"/>
    <w:rsid w:val="0F255737"/>
    <w:rsid w:val="0F3E0A9B"/>
    <w:rsid w:val="0F685160"/>
    <w:rsid w:val="10105481"/>
    <w:rsid w:val="10F039EE"/>
    <w:rsid w:val="10FB412B"/>
    <w:rsid w:val="11115EDA"/>
    <w:rsid w:val="11767EED"/>
    <w:rsid w:val="12777595"/>
    <w:rsid w:val="12D744FF"/>
    <w:rsid w:val="12DC5738"/>
    <w:rsid w:val="12E170C8"/>
    <w:rsid w:val="133061F3"/>
    <w:rsid w:val="148C336D"/>
    <w:rsid w:val="15D64B6C"/>
    <w:rsid w:val="16476A1A"/>
    <w:rsid w:val="180C1F2C"/>
    <w:rsid w:val="18D35B90"/>
    <w:rsid w:val="18D64B4F"/>
    <w:rsid w:val="19407AE8"/>
    <w:rsid w:val="199722AF"/>
    <w:rsid w:val="19F04584"/>
    <w:rsid w:val="1AD164E3"/>
    <w:rsid w:val="1BA53928"/>
    <w:rsid w:val="1C2D1563"/>
    <w:rsid w:val="1C3F4A67"/>
    <w:rsid w:val="1CA72210"/>
    <w:rsid w:val="1D2435B3"/>
    <w:rsid w:val="1D2E5D88"/>
    <w:rsid w:val="1DBF4581"/>
    <w:rsid w:val="1E952C64"/>
    <w:rsid w:val="1EC905EF"/>
    <w:rsid w:val="1F9633A0"/>
    <w:rsid w:val="1FC32F05"/>
    <w:rsid w:val="205C25C8"/>
    <w:rsid w:val="20951E90"/>
    <w:rsid w:val="214F3BD3"/>
    <w:rsid w:val="2196101E"/>
    <w:rsid w:val="227C295A"/>
    <w:rsid w:val="239325D3"/>
    <w:rsid w:val="239473E6"/>
    <w:rsid w:val="23A725BA"/>
    <w:rsid w:val="23C72714"/>
    <w:rsid w:val="244612A1"/>
    <w:rsid w:val="244D59F1"/>
    <w:rsid w:val="24874678"/>
    <w:rsid w:val="24B3596D"/>
    <w:rsid w:val="25093D76"/>
    <w:rsid w:val="256961FC"/>
    <w:rsid w:val="262B06D6"/>
    <w:rsid w:val="26A84857"/>
    <w:rsid w:val="26CC1DD0"/>
    <w:rsid w:val="26DC1089"/>
    <w:rsid w:val="28410220"/>
    <w:rsid w:val="2858756E"/>
    <w:rsid w:val="28CD64A6"/>
    <w:rsid w:val="28D8175E"/>
    <w:rsid w:val="29122A4B"/>
    <w:rsid w:val="29210CF5"/>
    <w:rsid w:val="29910D15"/>
    <w:rsid w:val="29B31958"/>
    <w:rsid w:val="2ADB039B"/>
    <w:rsid w:val="2B690E39"/>
    <w:rsid w:val="2C402F66"/>
    <w:rsid w:val="2C8A2B0A"/>
    <w:rsid w:val="2D9069AE"/>
    <w:rsid w:val="2DF306AF"/>
    <w:rsid w:val="2E8F5716"/>
    <w:rsid w:val="2ECF0515"/>
    <w:rsid w:val="2F0A4B39"/>
    <w:rsid w:val="2FA50550"/>
    <w:rsid w:val="2FC40975"/>
    <w:rsid w:val="2FEE7358"/>
    <w:rsid w:val="304E19A7"/>
    <w:rsid w:val="31031B9B"/>
    <w:rsid w:val="312A14FB"/>
    <w:rsid w:val="322354AD"/>
    <w:rsid w:val="332F5026"/>
    <w:rsid w:val="33782FA4"/>
    <w:rsid w:val="33CF277C"/>
    <w:rsid w:val="34157B1C"/>
    <w:rsid w:val="345561AC"/>
    <w:rsid w:val="34A00F0A"/>
    <w:rsid w:val="34D966BE"/>
    <w:rsid w:val="35152B1A"/>
    <w:rsid w:val="353F4156"/>
    <w:rsid w:val="35B05D00"/>
    <w:rsid w:val="35B47DC9"/>
    <w:rsid w:val="364F1C69"/>
    <w:rsid w:val="366B0249"/>
    <w:rsid w:val="366C3CF1"/>
    <w:rsid w:val="36720BF6"/>
    <w:rsid w:val="367F77B1"/>
    <w:rsid w:val="36B64887"/>
    <w:rsid w:val="37130351"/>
    <w:rsid w:val="374551AA"/>
    <w:rsid w:val="377A1CC4"/>
    <w:rsid w:val="37D23C17"/>
    <w:rsid w:val="38EF77DB"/>
    <w:rsid w:val="39566BFC"/>
    <w:rsid w:val="3AB801B1"/>
    <w:rsid w:val="3B293D3B"/>
    <w:rsid w:val="3B64306C"/>
    <w:rsid w:val="3D237AF4"/>
    <w:rsid w:val="3DE57588"/>
    <w:rsid w:val="3E275749"/>
    <w:rsid w:val="40070DEC"/>
    <w:rsid w:val="4081283B"/>
    <w:rsid w:val="41082398"/>
    <w:rsid w:val="412D5B26"/>
    <w:rsid w:val="41673231"/>
    <w:rsid w:val="41E07265"/>
    <w:rsid w:val="42BF0C89"/>
    <w:rsid w:val="449A7D23"/>
    <w:rsid w:val="44AC5CBA"/>
    <w:rsid w:val="45FE19F1"/>
    <w:rsid w:val="46455C6A"/>
    <w:rsid w:val="46590582"/>
    <w:rsid w:val="471D7131"/>
    <w:rsid w:val="476F7082"/>
    <w:rsid w:val="479661F1"/>
    <w:rsid w:val="47C93B15"/>
    <w:rsid w:val="47CA39A6"/>
    <w:rsid w:val="47D37B12"/>
    <w:rsid w:val="47F95B4B"/>
    <w:rsid w:val="480B4249"/>
    <w:rsid w:val="482275CE"/>
    <w:rsid w:val="48257B7F"/>
    <w:rsid w:val="482A2FBA"/>
    <w:rsid w:val="490173D7"/>
    <w:rsid w:val="49E475BF"/>
    <w:rsid w:val="4A7F4AB8"/>
    <w:rsid w:val="4A852FF6"/>
    <w:rsid w:val="4B057808"/>
    <w:rsid w:val="4CEC3B7D"/>
    <w:rsid w:val="4D634095"/>
    <w:rsid w:val="4EC63D5B"/>
    <w:rsid w:val="4F5E0998"/>
    <w:rsid w:val="5000740D"/>
    <w:rsid w:val="50141490"/>
    <w:rsid w:val="50C06440"/>
    <w:rsid w:val="50F716C3"/>
    <w:rsid w:val="51046C13"/>
    <w:rsid w:val="51131CB1"/>
    <w:rsid w:val="51604CEC"/>
    <w:rsid w:val="51881AEE"/>
    <w:rsid w:val="51D37DB0"/>
    <w:rsid w:val="52281F8E"/>
    <w:rsid w:val="52A01CC0"/>
    <w:rsid w:val="534B1B11"/>
    <w:rsid w:val="536674C8"/>
    <w:rsid w:val="538838DE"/>
    <w:rsid w:val="53AE4417"/>
    <w:rsid w:val="53B92A7D"/>
    <w:rsid w:val="53CC1B16"/>
    <w:rsid w:val="540D435B"/>
    <w:rsid w:val="54334AE6"/>
    <w:rsid w:val="549B719D"/>
    <w:rsid w:val="54F0171F"/>
    <w:rsid w:val="55875837"/>
    <w:rsid w:val="561F767B"/>
    <w:rsid w:val="56237F6D"/>
    <w:rsid w:val="565968DF"/>
    <w:rsid w:val="598F6910"/>
    <w:rsid w:val="59971C67"/>
    <w:rsid w:val="59E834EC"/>
    <w:rsid w:val="5A065061"/>
    <w:rsid w:val="5A2E2B2A"/>
    <w:rsid w:val="5A42657E"/>
    <w:rsid w:val="5A9D3DDB"/>
    <w:rsid w:val="5B1E043D"/>
    <w:rsid w:val="5C112219"/>
    <w:rsid w:val="5C184CE1"/>
    <w:rsid w:val="5CE904BD"/>
    <w:rsid w:val="5CEE19A1"/>
    <w:rsid w:val="5CFB16C5"/>
    <w:rsid w:val="5D6E12B4"/>
    <w:rsid w:val="5D832D83"/>
    <w:rsid w:val="5E3461DD"/>
    <w:rsid w:val="5E6835A6"/>
    <w:rsid w:val="5E8C6344"/>
    <w:rsid w:val="5EBB59B4"/>
    <w:rsid w:val="5F356352"/>
    <w:rsid w:val="5F8F53E5"/>
    <w:rsid w:val="5FC36A98"/>
    <w:rsid w:val="60051260"/>
    <w:rsid w:val="60A01567"/>
    <w:rsid w:val="614D1F85"/>
    <w:rsid w:val="61740AE6"/>
    <w:rsid w:val="61B31B3B"/>
    <w:rsid w:val="61E33064"/>
    <w:rsid w:val="62DB22E6"/>
    <w:rsid w:val="63D4380D"/>
    <w:rsid w:val="64A47F18"/>
    <w:rsid w:val="65CD47F7"/>
    <w:rsid w:val="66A858BA"/>
    <w:rsid w:val="66FD4767"/>
    <w:rsid w:val="67AC52BC"/>
    <w:rsid w:val="67CF2225"/>
    <w:rsid w:val="680244BF"/>
    <w:rsid w:val="68AA447C"/>
    <w:rsid w:val="68C9529B"/>
    <w:rsid w:val="692C2E73"/>
    <w:rsid w:val="69D935F6"/>
    <w:rsid w:val="6B364039"/>
    <w:rsid w:val="6BEC0A1B"/>
    <w:rsid w:val="6C1029B0"/>
    <w:rsid w:val="6C1239A1"/>
    <w:rsid w:val="6C4F1D2C"/>
    <w:rsid w:val="6D8D3631"/>
    <w:rsid w:val="6E047913"/>
    <w:rsid w:val="6F135D4D"/>
    <w:rsid w:val="6F924EF5"/>
    <w:rsid w:val="6FBD3E54"/>
    <w:rsid w:val="703576A2"/>
    <w:rsid w:val="7100782B"/>
    <w:rsid w:val="711E0CE9"/>
    <w:rsid w:val="717E6E24"/>
    <w:rsid w:val="72015E44"/>
    <w:rsid w:val="724A4D48"/>
    <w:rsid w:val="726054FE"/>
    <w:rsid w:val="72831EC7"/>
    <w:rsid w:val="737A4D1A"/>
    <w:rsid w:val="744637C7"/>
    <w:rsid w:val="7602179B"/>
    <w:rsid w:val="76A84598"/>
    <w:rsid w:val="77133B91"/>
    <w:rsid w:val="774C60F5"/>
    <w:rsid w:val="779813B9"/>
    <w:rsid w:val="77C85B5E"/>
    <w:rsid w:val="77EC4E9D"/>
    <w:rsid w:val="78531405"/>
    <w:rsid w:val="787E35A1"/>
    <w:rsid w:val="78961D9C"/>
    <w:rsid w:val="796A322C"/>
    <w:rsid w:val="79CC3E46"/>
    <w:rsid w:val="7A13021E"/>
    <w:rsid w:val="7AB25C44"/>
    <w:rsid w:val="7B031F23"/>
    <w:rsid w:val="7C137652"/>
    <w:rsid w:val="7C777D5C"/>
    <w:rsid w:val="7D502DEE"/>
    <w:rsid w:val="7DB65D06"/>
    <w:rsid w:val="7DDD728D"/>
    <w:rsid w:val="7EFC3FB5"/>
    <w:rsid w:val="7F9F1A32"/>
    <w:rsid w:val="7FC41881"/>
    <w:rsid w:val="7FD720C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unhideWhenUsed/>
    <w:qFormat/>
    <w:uiPriority w:val="39"/>
    <w:pPr>
      <w:spacing w:line="660" w:lineRule="exact"/>
      <w:ind w:firstLine="705"/>
    </w:pPr>
    <w:rPr>
      <w:rFonts w:ascii="仿宋_GB2312" w:hAnsi="Times New Roman" w:eastAsia="仿宋_GB2312" w:cs="Times New Roman"/>
      <w:color w:val="000000"/>
      <w:sz w:val="36"/>
      <w:szCs w:val="36"/>
    </w:rPr>
  </w:style>
  <w:style w:type="paragraph" w:styleId="3">
    <w:name w:val="annotation text"/>
    <w:basedOn w:val="1"/>
    <w:semiHidden/>
    <w:unhideWhenUsed/>
    <w:qFormat/>
    <w:uiPriority w:val="0"/>
    <w:pPr>
      <w:jc w:val="left"/>
    </w:pPr>
  </w:style>
  <w:style w:type="paragraph" w:styleId="4">
    <w:name w:val="Body Text"/>
    <w:basedOn w:val="1"/>
    <w:qFormat/>
    <w:uiPriority w:val="99"/>
    <w:pPr>
      <w:autoSpaceDE w:val="0"/>
      <w:autoSpaceDN w:val="0"/>
      <w:jc w:val="left"/>
    </w:pPr>
    <w:rPr>
      <w:rFonts w:ascii="Times New Roman" w:hAnsi="Times New Roman" w:cs="Times New Roman"/>
      <w:kern w:val="0"/>
      <w:sz w:val="20"/>
      <w:szCs w:val="20"/>
    </w:rPr>
  </w:style>
  <w:style w:type="paragraph" w:styleId="5">
    <w:name w:val="Balloon Text"/>
    <w:basedOn w:val="1"/>
    <w:link w:val="14"/>
    <w:qFormat/>
    <w:uiPriority w:val="0"/>
    <w:rPr>
      <w:sz w:val="18"/>
      <w:szCs w:val="18"/>
    </w:rPr>
  </w:style>
  <w:style w:type="paragraph" w:styleId="6">
    <w:name w:val="footer"/>
    <w:basedOn w:val="1"/>
    <w:qFormat/>
    <w:uiPriority w:val="99"/>
    <w:pPr>
      <w:tabs>
        <w:tab w:val="center" w:pos="4153"/>
        <w:tab w:val="right" w:pos="8306"/>
      </w:tabs>
      <w:snapToGrid w:val="0"/>
      <w:jc w:val="left"/>
    </w:pPr>
    <w:rPr>
      <w:sz w:val="18"/>
    </w:rPr>
  </w:style>
  <w:style w:type="paragraph" w:styleId="7">
    <w:name w:val="header"/>
    <w:basedOn w:val="1"/>
    <w:link w:val="15"/>
    <w:unhideWhenUsed/>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rFonts w:cs="Times New Roman"/>
      <w:kern w:val="0"/>
      <w:sz w:val="24"/>
    </w:rPr>
  </w:style>
  <w:style w:type="table" w:styleId="10">
    <w:name w:val="Table Gri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qFormat/>
    <w:uiPriority w:val="0"/>
  </w:style>
  <w:style w:type="paragraph" w:styleId="13">
    <w:name w:val="List Paragraph"/>
    <w:basedOn w:val="1"/>
    <w:unhideWhenUsed/>
    <w:qFormat/>
    <w:uiPriority w:val="99"/>
    <w:pPr>
      <w:ind w:firstLine="420" w:firstLineChars="200"/>
    </w:pPr>
  </w:style>
  <w:style w:type="character" w:customStyle="1" w:styleId="14">
    <w:name w:val="批注框文本 Char"/>
    <w:basedOn w:val="11"/>
    <w:link w:val="5"/>
    <w:qFormat/>
    <w:uiPriority w:val="0"/>
    <w:rPr>
      <w:rFonts w:asciiTheme="minorHAnsi" w:hAnsiTheme="minorHAnsi" w:eastAsiaTheme="minorEastAsia" w:cstheme="minorBidi"/>
      <w:kern w:val="2"/>
      <w:sz w:val="18"/>
      <w:szCs w:val="18"/>
    </w:rPr>
  </w:style>
  <w:style w:type="character" w:customStyle="1" w:styleId="15">
    <w:name w:val="页眉 Char"/>
    <w:basedOn w:val="11"/>
    <w:link w:val="7"/>
    <w:qFormat/>
    <w:uiPriority w:val="0"/>
    <w:rPr>
      <w:rFonts w:asciiTheme="minorHAnsi" w:hAnsiTheme="minorHAnsi" w:eastAsiaTheme="minorEastAsia" w:cstheme="minorBidi"/>
      <w:kern w:val="2"/>
      <w:sz w:val="18"/>
      <w:szCs w:val="18"/>
    </w:rPr>
  </w:style>
  <w:style w:type="paragraph" w:customStyle="1" w:styleId="16">
    <w:name w:val="Normal (Web)"/>
    <w:basedOn w:val="1"/>
    <w:qFormat/>
    <w:uiPriority w:val="0"/>
    <w:pPr>
      <w:spacing w:before="0" w:beforeLines="0" w:beforeAutospacing="0" w:after="0" w:afterLines="0" w:afterAutospacing="0"/>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F4C39-3F00-40D6-AD59-9A26744A0A0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2216</Words>
  <Characters>12634</Characters>
  <Lines>105</Lines>
  <Paragraphs>29</Paragraphs>
  <TotalTime>14</TotalTime>
  <ScaleCrop>false</ScaleCrop>
  <LinksUpToDate>false</LinksUpToDate>
  <CharactersWithSpaces>14821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2020-08-02T12:32:00Z</cp:lastPrinted>
  <dcterms:modified xsi:type="dcterms:W3CDTF">2021-07-02T02:27:27Z</dcterms:modified>
  <cp:revision>246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821634C8B22C4FD28393D06B3500387F</vt:lpwstr>
  </property>
</Properties>
</file>